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B7FBF" w14:textId="0D093B87" w:rsidR="00FF0D67" w:rsidRPr="00AC431D" w:rsidRDefault="00851063" w:rsidP="002A0A3E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</w:rPr>
      </w:pPr>
      <w:bookmarkStart w:id="0" w:name="_GoBack"/>
      <w:bookmarkEnd w:id="0"/>
      <w:r w:rsidRPr="00851063">
        <w:rPr>
          <w:rFonts w:ascii="Arial" w:hAnsi="Arial"/>
          <w:b/>
          <w:i/>
          <w:iCs/>
          <w:lang w:val="en-US"/>
        </w:rPr>
        <w:t>Synthesis of Nitrogen-Containing Molecules using</w:t>
      </w:r>
      <w:r w:rsidRPr="00851063">
        <w:rPr>
          <w:rFonts w:ascii="Arial" w:hAnsi="Arial"/>
          <w:b/>
          <w:lang w:val="en-US"/>
        </w:rPr>
        <w:t xml:space="preserve"> </w:t>
      </w:r>
      <w:r w:rsidRPr="00851063">
        <w:rPr>
          <w:rFonts w:ascii="Arial" w:hAnsi="Arial"/>
          <w:b/>
          <w:i/>
          <w:iCs/>
          <w:lang w:val="en-US"/>
        </w:rPr>
        <w:t>Inexpensive Reagents and Catalysts:</w:t>
      </w:r>
      <w:r w:rsidRPr="00851063">
        <w:rPr>
          <w:rFonts w:ascii="Arial" w:hAnsi="Arial"/>
          <w:b/>
          <w:lang w:val="en-US"/>
        </w:rPr>
        <w:t xml:space="preserve"> </w:t>
      </w:r>
      <w:proofErr w:type="spellStart"/>
      <w:r w:rsidRPr="00851063">
        <w:rPr>
          <w:rFonts w:ascii="Arial" w:hAnsi="Arial"/>
          <w:b/>
          <w:i/>
          <w:iCs/>
          <w:lang w:val="en-US"/>
        </w:rPr>
        <w:t>Hydroaminations</w:t>
      </w:r>
      <w:proofErr w:type="spellEnd"/>
      <w:r w:rsidRPr="00851063">
        <w:rPr>
          <w:rFonts w:ascii="Arial" w:hAnsi="Arial"/>
          <w:b/>
          <w:i/>
          <w:iCs/>
          <w:lang w:val="en-US"/>
        </w:rPr>
        <w:t xml:space="preserve">, </w:t>
      </w:r>
      <w:proofErr w:type="spellStart"/>
      <w:r w:rsidRPr="00851063">
        <w:rPr>
          <w:rFonts w:ascii="Arial" w:hAnsi="Arial"/>
          <w:b/>
          <w:i/>
          <w:iCs/>
          <w:lang w:val="en-US"/>
        </w:rPr>
        <w:t>Aminocarbonylations</w:t>
      </w:r>
      <w:proofErr w:type="spellEnd"/>
      <w:r w:rsidRPr="00851063">
        <w:rPr>
          <w:rFonts w:ascii="Arial" w:hAnsi="Arial"/>
          <w:b/>
          <w:i/>
          <w:iCs/>
          <w:lang w:val="en-US"/>
        </w:rPr>
        <w:t xml:space="preserve"> and Tethering Catalysis</w:t>
      </w:r>
    </w:p>
    <w:p w14:paraId="1780C4FD" w14:textId="77777777" w:rsidR="00FF0D67" w:rsidRDefault="00FF0D67">
      <w:pPr>
        <w:rPr>
          <w:rFonts w:ascii="Arial" w:hAnsi="Arial"/>
          <w:sz w:val="22"/>
        </w:rPr>
      </w:pPr>
    </w:p>
    <w:p w14:paraId="53E511B0" w14:textId="77777777" w:rsidR="00F344D5" w:rsidRDefault="00F344D5">
      <w:pPr>
        <w:rPr>
          <w:rFonts w:ascii="Arial" w:hAnsi="Arial"/>
          <w:sz w:val="22"/>
        </w:rPr>
      </w:pPr>
    </w:p>
    <w:p w14:paraId="6ED2C9D1" w14:textId="77777777" w:rsidR="00F344D5" w:rsidRPr="002A1F0E" w:rsidRDefault="00F344D5" w:rsidP="00F344D5">
      <w:pPr>
        <w:jc w:val="center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 xml:space="preserve">André M. Beauchemin, </w:t>
      </w:r>
      <w:r w:rsidRPr="002A0A3E">
        <w:rPr>
          <w:rFonts w:ascii="Arial" w:hAnsi="Arial"/>
          <w:i/>
          <w:sz w:val="22"/>
        </w:rPr>
        <w:t>Centre for Catalysis Research and Innovation, Department of Chemistry, University of Ottawa</w:t>
      </w:r>
      <w:r>
        <w:rPr>
          <w:rFonts w:ascii="Arial" w:hAnsi="Arial"/>
          <w:i/>
          <w:sz w:val="22"/>
        </w:rPr>
        <w:t>, Ottawa, ON, K1N 6N5 (andre.beauchemin@uottawa.ca)</w:t>
      </w:r>
    </w:p>
    <w:p w14:paraId="7786C39B" w14:textId="77777777" w:rsidR="00F344D5" w:rsidRDefault="00F344D5">
      <w:pPr>
        <w:rPr>
          <w:rFonts w:ascii="Arial" w:hAnsi="Arial"/>
          <w:sz w:val="22"/>
        </w:rPr>
      </w:pPr>
    </w:p>
    <w:p w14:paraId="2C0A7BFF" w14:textId="77777777" w:rsidR="00F344D5" w:rsidRDefault="00F344D5">
      <w:pPr>
        <w:rPr>
          <w:rFonts w:ascii="Arial" w:hAnsi="Arial"/>
          <w:sz w:val="22"/>
        </w:rPr>
      </w:pPr>
    </w:p>
    <w:p w14:paraId="4211E877" w14:textId="35999260" w:rsidR="003B5B61" w:rsidRDefault="00F344D5" w:rsidP="003B5B61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Despite</w:t>
      </w:r>
      <w:r w:rsidRPr="008D5CD5">
        <w:rPr>
          <w:rFonts w:ascii="Arial" w:hAnsi="Arial"/>
          <w:sz w:val="22"/>
        </w:rPr>
        <w:t xml:space="preserve"> the ubiquity of </w:t>
      </w:r>
      <w:r>
        <w:rPr>
          <w:rFonts w:ascii="Arial" w:hAnsi="Arial"/>
          <w:sz w:val="22"/>
        </w:rPr>
        <w:t xml:space="preserve">bioactive </w:t>
      </w:r>
      <w:r w:rsidRPr="008D5CD5">
        <w:rPr>
          <w:rFonts w:ascii="Arial" w:hAnsi="Arial"/>
          <w:sz w:val="22"/>
        </w:rPr>
        <w:t xml:space="preserve">nitrogen-containing molecules, </w:t>
      </w:r>
      <w:r>
        <w:rPr>
          <w:rFonts w:ascii="Arial" w:hAnsi="Arial"/>
          <w:sz w:val="22"/>
        </w:rPr>
        <w:t>a</w:t>
      </w:r>
      <w:r w:rsidRPr="008D5CD5">
        <w:rPr>
          <w:rFonts w:ascii="Arial" w:hAnsi="Arial"/>
          <w:sz w:val="22"/>
        </w:rPr>
        <w:t xml:space="preserve">mination reactions of electron-rich alkenes and alkynes </w:t>
      </w:r>
      <w:r>
        <w:rPr>
          <w:rFonts w:ascii="Arial" w:hAnsi="Arial"/>
          <w:sz w:val="22"/>
        </w:rPr>
        <w:t xml:space="preserve">remain underdeveloped and </w:t>
      </w:r>
      <w:r w:rsidRPr="008D5CD5">
        <w:rPr>
          <w:rFonts w:ascii="Arial" w:hAnsi="Arial"/>
          <w:sz w:val="22"/>
        </w:rPr>
        <w:t>offer excellent potential for broad</w:t>
      </w:r>
      <w:r>
        <w:rPr>
          <w:rFonts w:ascii="Arial" w:hAnsi="Arial"/>
          <w:sz w:val="22"/>
        </w:rPr>
        <w:t>er</w:t>
      </w:r>
      <w:r w:rsidRPr="008D5CD5">
        <w:rPr>
          <w:rFonts w:ascii="Arial" w:hAnsi="Arial"/>
          <w:sz w:val="22"/>
        </w:rPr>
        <w:t xml:space="preserve"> applicability in </w:t>
      </w:r>
      <w:r>
        <w:rPr>
          <w:rFonts w:ascii="Arial" w:hAnsi="Arial"/>
          <w:sz w:val="22"/>
        </w:rPr>
        <w:t xml:space="preserve">the synthesis </w:t>
      </w:r>
      <w:r w:rsidR="00AD2A54">
        <w:rPr>
          <w:rFonts w:ascii="Arial" w:hAnsi="Arial"/>
          <w:sz w:val="22"/>
        </w:rPr>
        <w:t xml:space="preserve">of </w:t>
      </w:r>
      <w:r>
        <w:rPr>
          <w:rFonts w:ascii="Arial" w:hAnsi="Arial"/>
          <w:sz w:val="22"/>
        </w:rPr>
        <w:t>nitrogen heterocycles, amines and imines</w:t>
      </w:r>
      <w:r w:rsidRPr="008D5CD5">
        <w:rPr>
          <w:rFonts w:ascii="Arial" w:hAnsi="Arial"/>
          <w:sz w:val="22"/>
        </w:rPr>
        <w:t xml:space="preserve">. </w:t>
      </w:r>
      <w:r w:rsidR="00CA0538">
        <w:rPr>
          <w:rFonts w:ascii="Arial" w:hAnsi="Arial"/>
          <w:sz w:val="22"/>
        </w:rPr>
        <w:t>Even if</w:t>
      </w:r>
      <w:r w:rsidR="003B5B61">
        <w:rPr>
          <w:rFonts w:ascii="Arial" w:hAnsi="Arial"/>
          <w:sz w:val="22"/>
        </w:rPr>
        <w:t xml:space="preserve"> significant efforts have been invested in the development of metal-catalyzed transformations, </w:t>
      </w:r>
      <w:r w:rsidR="003B5B61" w:rsidRPr="00F254F1">
        <w:rPr>
          <w:rFonts w:ascii="Arial" w:hAnsi="Arial"/>
          <w:sz w:val="22"/>
        </w:rPr>
        <w:t>metal-free</w:t>
      </w:r>
      <w:r w:rsidR="003B5B61">
        <w:rPr>
          <w:rFonts w:ascii="Arial" w:hAnsi="Arial"/>
          <w:sz w:val="22"/>
        </w:rPr>
        <w:t xml:space="preserve"> amination strategies </w:t>
      </w:r>
      <w:r>
        <w:rPr>
          <w:rFonts w:ascii="Arial" w:hAnsi="Arial"/>
          <w:sz w:val="22"/>
        </w:rPr>
        <w:t xml:space="preserve">utilizing bifunctional reagents </w:t>
      </w:r>
      <w:r w:rsidR="003B5B61">
        <w:rPr>
          <w:rFonts w:ascii="Arial" w:hAnsi="Arial"/>
          <w:sz w:val="22"/>
        </w:rPr>
        <w:t>are emerging as useful alternat</w:t>
      </w:r>
      <w:r w:rsidR="00D93852">
        <w:rPr>
          <w:rFonts w:ascii="Arial" w:hAnsi="Arial"/>
          <w:sz w:val="22"/>
        </w:rPr>
        <w:t>ives</w:t>
      </w:r>
      <w:r>
        <w:rPr>
          <w:rFonts w:ascii="Arial" w:hAnsi="Arial"/>
          <w:sz w:val="22"/>
        </w:rPr>
        <w:t>. For example</w:t>
      </w:r>
      <w:r w:rsidRPr="008D5CD5">
        <w:rPr>
          <w:rFonts w:ascii="Arial" w:hAnsi="Arial"/>
          <w:sz w:val="22"/>
        </w:rPr>
        <w:t xml:space="preserve">, our group has </w:t>
      </w:r>
      <w:r>
        <w:rPr>
          <w:rFonts w:ascii="Arial" w:hAnsi="Arial"/>
          <w:sz w:val="22"/>
        </w:rPr>
        <w:t>significantly extended the</w:t>
      </w:r>
      <w:r w:rsidRPr="008D5CD5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concerted</w:t>
      </w:r>
      <w:r w:rsidRPr="008D5CD5">
        <w:rPr>
          <w:rFonts w:ascii="Arial" w:hAnsi="Arial"/>
          <w:sz w:val="22"/>
        </w:rPr>
        <w:t xml:space="preserve">, </w:t>
      </w:r>
      <w:r w:rsidRPr="00AD2A54">
        <w:rPr>
          <w:rFonts w:ascii="Arial" w:hAnsi="Arial"/>
          <w:sz w:val="22"/>
        </w:rPr>
        <w:t>Cope-type hydroamination</w:t>
      </w:r>
      <w:r w:rsidRPr="008D5CD5">
        <w:rPr>
          <w:rFonts w:ascii="Arial" w:hAnsi="Arial"/>
          <w:sz w:val="22"/>
        </w:rPr>
        <w:t xml:space="preserve"> reactivity of hydroxylamines</w:t>
      </w:r>
      <w:r>
        <w:rPr>
          <w:rFonts w:ascii="Arial" w:hAnsi="Arial"/>
          <w:sz w:val="22"/>
        </w:rPr>
        <w:t xml:space="preserve"> and hydrazine derivatives</w:t>
      </w:r>
      <w:r w:rsidRPr="008D5CD5">
        <w:rPr>
          <w:rFonts w:ascii="Arial" w:hAnsi="Arial"/>
          <w:sz w:val="22"/>
        </w:rPr>
        <w:t>, enabling efficient intermolecular reactions and difficult cyclizations</w:t>
      </w:r>
      <w:r w:rsidRPr="002A0A3E">
        <w:rPr>
          <w:rFonts w:ascii="Arial" w:hAnsi="Arial" w:cs="Arial"/>
          <w:color w:val="000000" w:themeColor="text1"/>
          <w:sz w:val="22"/>
          <w:szCs w:val="26"/>
          <w:lang w:val="en-US"/>
        </w:rPr>
        <w:t>.</w:t>
      </w:r>
      <w:r w:rsidRPr="008D5CD5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More recently, our lab has developed </w:t>
      </w:r>
      <w:r w:rsidR="00407A77">
        <w:rPr>
          <w:rFonts w:ascii="Arial" w:hAnsi="Arial"/>
          <w:sz w:val="22"/>
        </w:rPr>
        <w:t>amino- and imino-isocyanates</w:t>
      </w:r>
      <w:r w:rsidR="00056CE5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to achieve alkene </w:t>
      </w:r>
      <w:r w:rsidRPr="00AD2A54">
        <w:rPr>
          <w:rFonts w:ascii="Arial" w:hAnsi="Arial"/>
          <w:sz w:val="22"/>
        </w:rPr>
        <w:t xml:space="preserve">aminocarbonylation </w:t>
      </w:r>
      <w:r>
        <w:rPr>
          <w:rFonts w:ascii="Arial" w:hAnsi="Arial"/>
          <w:sz w:val="22"/>
        </w:rPr>
        <w:t>reactivity and synthesize</w:t>
      </w:r>
      <w:r w:rsidR="00056CE5">
        <w:rPr>
          <w:rFonts w:ascii="Arial" w:hAnsi="Arial"/>
          <w:sz w:val="22"/>
        </w:rPr>
        <w:t xml:space="preserve"> beta-aminocarbonyl motifs under mild conditions</w:t>
      </w:r>
      <w:r w:rsidR="003B5B61">
        <w:rPr>
          <w:rFonts w:ascii="Arial" w:hAnsi="Arial"/>
          <w:sz w:val="22"/>
        </w:rPr>
        <w:t>.</w:t>
      </w:r>
      <w:r w:rsidR="003B5B61" w:rsidRPr="008D5CD5">
        <w:rPr>
          <w:rFonts w:ascii="Arial" w:hAnsi="Arial"/>
          <w:sz w:val="22"/>
        </w:rPr>
        <w:t xml:space="preserve"> </w:t>
      </w:r>
      <w:r w:rsidR="00056CE5">
        <w:rPr>
          <w:rFonts w:ascii="Arial" w:hAnsi="Arial"/>
          <w:sz w:val="22"/>
        </w:rPr>
        <w:t xml:space="preserve">In efforts to </w:t>
      </w:r>
      <w:r w:rsidR="00CA0538">
        <w:rPr>
          <w:rFonts w:ascii="Arial" w:hAnsi="Arial"/>
          <w:sz w:val="22"/>
        </w:rPr>
        <w:t>achieve elusive intermolecular hydroamination reactions of alkenes</w:t>
      </w:r>
      <w:r w:rsidR="003B5B61">
        <w:rPr>
          <w:rFonts w:ascii="Arial" w:hAnsi="Arial"/>
          <w:sz w:val="22"/>
        </w:rPr>
        <w:t xml:space="preserve">, </w:t>
      </w:r>
      <w:r w:rsidR="00080FEF" w:rsidRPr="00AD2A54">
        <w:rPr>
          <w:rFonts w:ascii="Arial" w:hAnsi="Arial"/>
          <w:sz w:val="22"/>
        </w:rPr>
        <w:t xml:space="preserve">aldehyde-based </w:t>
      </w:r>
      <w:r w:rsidR="00CA0538" w:rsidRPr="00AD2A54">
        <w:rPr>
          <w:rFonts w:ascii="Arial" w:hAnsi="Arial"/>
          <w:sz w:val="22"/>
        </w:rPr>
        <w:t>organocatalysts</w:t>
      </w:r>
      <w:r w:rsidR="003B5B61">
        <w:rPr>
          <w:rFonts w:ascii="Arial" w:hAnsi="Arial"/>
          <w:sz w:val="22"/>
        </w:rPr>
        <w:t xml:space="preserve"> </w:t>
      </w:r>
      <w:r w:rsidR="00CA0538">
        <w:rPr>
          <w:rFonts w:ascii="Arial" w:hAnsi="Arial"/>
          <w:sz w:val="22"/>
        </w:rPr>
        <w:t xml:space="preserve">were developed to in-situ form a temporary tether between hydroxylamines and allylic amines, thus </w:t>
      </w:r>
      <w:r w:rsidR="003B5B61">
        <w:rPr>
          <w:rFonts w:ascii="Arial" w:hAnsi="Arial"/>
          <w:sz w:val="22"/>
        </w:rPr>
        <w:t xml:space="preserve">enabling room temperature </w:t>
      </w:r>
      <w:r w:rsidR="003B5B61" w:rsidRPr="007D4D17">
        <w:rPr>
          <w:rFonts w:ascii="Arial" w:hAnsi="Arial"/>
          <w:i/>
          <w:sz w:val="22"/>
        </w:rPr>
        <w:t>directed</w:t>
      </w:r>
      <w:r w:rsidR="003B5B61">
        <w:rPr>
          <w:rFonts w:ascii="Arial" w:hAnsi="Arial"/>
          <w:sz w:val="22"/>
        </w:rPr>
        <w:t xml:space="preserve"> intermolecular amination reactivity</w:t>
      </w:r>
      <w:r w:rsidR="00CA0538">
        <w:rPr>
          <w:rFonts w:ascii="Arial" w:hAnsi="Arial"/>
          <w:sz w:val="22"/>
        </w:rPr>
        <w:t xml:space="preserve"> and the </w:t>
      </w:r>
      <w:proofErr w:type="spellStart"/>
      <w:r w:rsidR="00D17CDE">
        <w:rPr>
          <w:rFonts w:ascii="Arial" w:hAnsi="Arial"/>
          <w:sz w:val="22"/>
        </w:rPr>
        <w:t>stereocontrolled</w:t>
      </w:r>
      <w:proofErr w:type="spellEnd"/>
      <w:r w:rsidR="00D17CDE">
        <w:rPr>
          <w:rFonts w:ascii="Arial" w:hAnsi="Arial"/>
          <w:sz w:val="22"/>
        </w:rPr>
        <w:t xml:space="preserve"> </w:t>
      </w:r>
      <w:r w:rsidR="00CA0538">
        <w:rPr>
          <w:rFonts w:ascii="Arial" w:hAnsi="Arial"/>
          <w:sz w:val="22"/>
        </w:rPr>
        <w:t xml:space="preserve">synthesis vicinal </w:t>
      </w:r>
      <w:proofErr w:type="spellStart"/>
      <w:r w:rsidR="00CA0538">
        <w:rPr>
          <w:rFonts w:ascii="Arial" w:hAnsi="Arial"/>
          <w:sz w:val="22"/>
        </w:rPr>
        <w:t>diamines</w:t>
      </w:r>
      <w:proofErr w:type="spellEnd"/>
      <w:r w:rsidR="003B5B61">
        <w:rPr>
          <w:rFonts w:ascii="Arial" w:hAnsi="Arial"/>
          <w:sz w:val="22"/>
        </w:rPr>
        <w:t>.</w:t>
      </w:r>
      <w:r w:rsidR="00AD2A54">
        <w:rPr>
          <w:rFonts w:ascii="Arial" w:hAnsi="Arial"/>
          <w:sz w:val="22"/>
        </w:rPr>
        <w:t xml:space="preserve"> This system highlights the potential of simple catalysts operating via temporary intramolecularity</w:t>
      </w:r>
      <w:r w:rsidR="00851063">
        <w:rPr>
          <w:rFonts w:ascii="Arial" w:hAnsi="Arial"/>
          <w:sz w:val="22"/>
        </w:rPr>
        <w:t>. Further developments of aldehyde-catalysis will also be presented</w:t>
      </w:r>
      <w:r w:rsidR="00AD2A54">
        <w:rPr>
          <w:rFonts w:ascii="Arial" w:hAnsi="Arial"/>
          <w:sz w:val="22"/>
        </w:rPr>
        <w:t>.</w:t>
      </w:r>
    </w:p>
    <w:p w14:paraId="440FECCE" w14:textId="77777777" w:rsidR="002A0A3E" w:rsidRDefault="002A0A3E" w:rsidP="00C81A25">
      <w:pPr>
        <w:spacing w:after="120"/>
        <w:jc w:val="both"/>
        <w:rPr>
          <w:rFonts w:ascii="Arial" w:hAnsi="Arial"/>
          <w:sz w:val="22"/>
        </w:rPr>
      </w:pPr>
    </w:p>
    <w:p w14:paraId="31FC70EE" w14:textId="77777777" w:rsidR="00A74871" w:rsidRPr="008D5CD5" w:rsidRDefault="00080FEF" w:rsidP="002A0A3E">
      <w:pPr>
        <w:jc w:val="center"/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fr-CH" w:eastAsia="fr-CH"/>
        </w:rPr>
        <w:drawing>
          <wp:inline distT="0" distB="0" distL="0" distR="0" wp14:anchorId="5B171A7C" wp14:editId="205FF3D8">
            <wp:extent cx="3852545" cy="12871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545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528FC" w14:textId="77777777" w:rsidR="000C179A" w:rsidRPr="00C81A25" w:rsidRDefault="000C179A">
      <w:pPr>
        <w:rPr>
          <w:rFonts w:ascii="Arial" w:hAnsi="Arial"/>
          <w:sz w:val="20"/>
        </w:rPr>
      </w:pPr>
    </w:p>
    <w:p w14:paraId="5B82332C" w14:textId="77777777" w:rsidR="00E47D16" w:rsidRPr="00C81A25" w:rsidRDefault="00E47D16">
      <w:pPr>
        <w:rPr>
          <w:rFonts w:ascii="Arial" w:hAnsi="Arial"/>
          <w:sz w:val="20"/>
        </w:rPr>
      </w:pPr>
    </w:p>
    <w:p w14:paraId="2CF200D8" w14:textId="77777777" w:rsidR="00A74871" w:rsidRPr="000C179A" w:rsidRDefault="00A74871" w:rsidP="000C179A">
      <w:pPr>
        <w:spacing w:before="120"/>
        <w:jc w:val="both"/>
        <w:rPr>
          <w:rFonts w:ascii="Arial" w:hAnsi="Arial"/>
          <w:i/>
          <w:sz w:val="18"/>
        </w:rPr>
      </w:pPr>
    </w:p>
    <w:sectPr w:rsidR="00A74871" w:rsidRPr="000C179A" w:rsidSect="00E47D16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71"/>
    <w:rsid w:val="000327A2"/>
    <w:rsid w:val="00056CE5"/>
    <w:rsid w:val="00080FEF"/>
    <w:rsid w:val="000A5D28"/>
    <w:rsid w:val="000C179A"/>
    <w:rsid w:val="0011641E"/>
    <w:rsid w:val="00120C8A"/>
    <w:rsid w:val="00210F85"/>
    <w:rsid w:val="00217B50"/>
    <w:rsid w:val="002A0A3E"/>
    <w:rsid w:val="003B5B61"/>
    <w:rsid w:val="00407A77"/>
    <w:rsid w:val="00413CAD"/>
    <w:rsid w:val="00485F4D"/>
    <w:rsid w:val="00501E68"/>
    <w:rsid w:val="005A012B"/>
    <w:rsid w:val="005B12D7"/>
    <w:rsid w:val="005E14CA"/>
    <w:rsid w:val="005E2D47"/>
    <w:rsid w:val="0067738F"/>
    <w:rsid w:val="00677B07"/>
    <w:rsid w:val="00722E3B"/>
    <w:rsid w:val="007D4D17"/>
    <w:rsid w:val="00846281"/>
    <w:rsid w:val="00851063"/>
    <w:rsid w:val="008C38BA"/>
    <w:rsid w:val="008D5CD5"/>
    <w:rsid w:val="00931717"/>
    <w:rsid w:val="009A339B"/>
    <w:rsid w:val="00A74871"/>
    <w:rsid w:val="00AC431D"/>
    <w:rsid w:val="00AD2A54"/>
    <w:rsid w:val="00AE45CF"/>
    <w:rsid w:val="00AF6388"/>
    <w:rsid w:val="00B426FD"/>
    <w:rsid w:val="00B50DB0"/>
    <w:rsid w:val="00BF4366"/>
    <w:rsid w:val="00C5100D"/>
    <w:rsid w:val="00C81A25"/>
    <w:rsid w:val="00CA0538"/>
    <w:rsid w:val="00CA1BDF"/>
    <w:rsid w:val="00D17CDE"/>
    <w:rsid w:val="00D93852"/>
    <w:rsid w:val="00D966FA"/>
    <w:rsid w:val="00E47D16"/>
    <w:rsid w:val="00E7401E"/>
    <w:rsid w:val="00E87893"/>
    <w:rsid w:val="00F01EC6"/>
    <w:rsid w:val="00F254F1"/>
    <w:rsid w:val="00F344D5"/>
    <w:rsid w:val="00F7408A"/>
    <w:rsid w:val="00FE0406"/>
    <w:rsid w:val="00FE34CA"/>
    <w:rsid w:val="00FF0D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3E175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D7E"/>
    <w:rPr>
      <w:sz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01EC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1EC6"/>
    <w:rPr>
      <w:rFonts w:ascii="Lucida Grande" w:hAnsi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D7E"/>
    <w:rPr>
      <w:sz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01EC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1EC6"/>
    <w:rPr>
      <w:rFonts w:ascii="Lucida Grande" w:hAnsi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Ottawa</Company>
  <LinksUpToDate>false</LinksUpToDate>
  <CharactersWithSpaces>1680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Beauchemin</dc:creator>
  <cp:lastModifiedBy>Monique Borcard</cp:lastModifiedBy>
  <cp:revision>2</cp:revision>
  <cp:lastPrinted>2010-04-02T15:30:00Z</cp:lastPrinted>
  <dcterms:created xsi:type="dcterms:W3CDTF">2013-08-26T06:32:00Z</dcterms:created>
  <dcterms:modified xsi:type="dcterms:W3CDTF">2013-08-26T06:32:00Z</dcterms:modified>
</cp:coreProperties>
</file>