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1718" w:rsidRDefault="001E1718" w:rsidP="001E1718">
      <w:pPr>
        <w:widowControl w:val="0"/>
        <w:autoSpaceDE w:val="0"/>
        <w:autoSpaceDN w:val="0"/>
        <w:adjustRightInd w:val="0"/>
        <w:jc w:val="center"/>
        <w:rPr>
          <w:rFonts w:ascii="Times" w:hAnsi="Times" w:cs="Arial"/>
          <w:b/>
          <w:color w:val="000000" w:themeColor="text1"/>
          <w:lang w:val="en-US"/>
        </w:rPr>
      </w:pPr>
      <w:r w:rsidRPr="001E1718">
        <w:rPr>
          <w:rFonts w:ascii="Times" w:hAnsi="Times" w:cs="Arial"/>
          <w:b/>
          <w:color w:val="000000" w:themeColor="text1"/>
          <w:lang w:val="en-US"/>
        </w:rPr>
        <w:t>The mechanics of intermediate and deep focus earthquakes</w:t>
      </w:r>
    </w:p>
    <w:p w:rsidR="001E1718" w:rsidRDefault="001E1718" w:rsidP="001E1718">
      <w:pPr>
        <w:widowControl w:val="0"/>
        <w:autoSpaceDE w:val="0"/>
        <w:autoSpaceDN w:val="0"/>
        <w:adjustRightInd w:val="0"/>
        <w:jc w:val="center"/>
        <w:rPr>
          <w:rFonts w:ascii="Times" w:hAnsi="Times" w:cs="Arial"/>
          <w:b/>
          <w:color w:val="000000" w:themeColor="text1"/>
          <w:lang w:val="en-US"/>
        </w:rPr>
      </w:pPr>
    </w:p>
    <w:p w:rsidR="001E1718" w:rsidRPr="001E1718" w:rsidRDefault="001E1718" w:rsidP="001E1718">
      <w:pPr>
        <w:widowControl w:val="0"/>
        <w:autoSpaceDE w:val="0"/>
        <w:autoSpaceDN w:val="0"/>
        <w:adjustRightInd w:val="0"/>
        <w:spacing w:after="100"/>
        <w:jc w:val="both"/>
        <w:rPr>
          <w:rFonts w:ascii="Times" w:hAnsi="Times" w:cs="Arial"/>
          <w:color w:val="262626"/>
          <w:sz w:val="22"/>
          <w:szCs w:val="22"/>
          <w:lang w:val="en-US"/>
        </w:rPr>
      </w:pPr>
      <w:r>
        <w:rPr>
          <w:rFonts w:ascii="Times" w:hAnsi="Times" w:cs="Helvetica"/>
          <w:b/>
          <w:color w:val="000090"/>
          <w:lang w:val="en-US"/>
        </w:rPr>
        <w:t xml:space="preserve">  </w:t>
      </w:r>
      <w:r w:rsidRPr="001E1718">
        <w:rPr>
          <w:rFonts w:ascii="Times" w:hAnsi="Times" w:cs="Arial"/>
          <w:color w:val="262626"/>
          <w:sz w:val="22"/>
          <w:szCs w:val="22"/>
          <w:lang w:val="en-US"/>
        </w:rPr>
        <w:t xml:space="preserve">At least part of the </w:t>
      </w:r>
      <w:proofErr w:type="spellStart"/>
      <w:r w:rsidRPr="001E1718">
        <w:rPr>
          <w:rFonts w:ascii="Times" w:hAnsi="Times" w:cs="Arial"/>
          <w:color w:val="262626"/>
          <w:sz w:val="22"/>
          <w:szCs w:val="22"/>
          <w:lang w:val="en-US"/>
        </w:rPr>
        <w:t>subducting</w:t>
      </w:r>
      <w:proofErr w:type="spellEnd"/>
      <w:r w:rsidRPr="001E1718">
        <w:rPr>
          <w:rFonts w:ascii="Times" w:hAnsi="Times" w:cs="Arial"/>
          <w:color w:val="262626"/>
          <w:sz w:val="22"/>
          <w:szCs w:val="22"/>
          <w:lang w:val="en-US"/>
        </w:rPr>
        <w:t xml:space="preserve"> slab seismic activity could be triggered by phase transformations and mineral reactions. However, the way mineral reactions can modify the deformation regime of deep rocks, from ductile to brittle (embrittlement) is still poorly understood and remains one of the outstanding unsolved problems of geophysics and rock mechanics.</w:t>
      </w:r>
    </w:p>
    <w:p w:rsidR="001E1718" w:rsidRDefault="001E1718" w:rsidP="001E1718">
      <w:pPr>
        <w:widowControl w:val="0"/>
        <w:autoSpaceDE w:val="0"/>
        <w:autoSpaceDN w:val="0"/>
        <w:adjustRightInd w:val="0"/>
        <w:spacing w:after="100"/>
        <w:jc w:val="both"/>
        <w:rPr>
          <w:rFonts w:ascii="Times" w:hAnsi="Times" w:cs="Arial"/>
          <w:color w:val="262626"/>
          <w:sz w:val="22"/>
          <w:szCs w:val="22"/>
          <w:lang w:val="en-US"/>
        </w:rPr>
      </w:pPr>
      <w:r>
        <w:rPr>
          <w:rFonts w:ascii="Times" w:hAnsi="Times" w:cs="Arial"/>
          <w:color w:val="262626"/>
          <w:sz w:val="22"/>
          <w:szCs w:val="22"/>
          <w:lang w:val="en-US"/>
        </w:rPr>
        <w:t xml:space="preserve">  </w:t>
      </w:r>
      <w:r w:rsidRPr="001E1718">
        <w:rPr>
          <w:rFonts w:ascii="Times" w:hAnsi="Times" w:cs="Arial"/>
          <w:color w:val="262626"/>
          <w:sz w:val="22"/>
          <w:szCs w:val="22"/>
          <w:lang w:val="en-US"/>
        </w:rPr>
        <w:t>Here, we provide experimental evidence that, under differential stress at high pressure and temperature conditions (3-5GPa/800-1000°C), shear fractures nucleate and propagate at the onset of the olivine -&gt; spinel transition in the Mg</w:t>
      </w:r>
      <w:r w:rsidRPr="001E1718">
        <w:rPr>
          <w:rFonts w:ascii="Times" w:hAnsi="Times" w:cs="Arial"/>
          <w:color w:val="262626"/>
          <w:sz w:val="22"/>
          <w:szCs w:val="22"/>
          <w:vertAlign w:val="subscript"/>
          <w:lang w:val="en-US"/>
        </w:rPr>
        <w:t>2</w:t>
      </w:r>
      <w:r w:rsidRPr="001E1718">
        <w:rPr>
          <w:rFonts w:ascii="Times" w:hAnsi="Times" w:cs="Arial"/>
          <w:color w:val="262626"/>
          <w:sz w:val="22"/>
          <w:szCs w:val="22"/>
          <w:lang w:val="en-US"/>
        </w:rPr>
        <w:t>GeO</w:t>
      </w:r>
      <w:r w:rsidRPr="001E1718">
        <w:rPr>
          <w:rFonts w:ascii="Times" w:hAnsi="Times" w:cs="Arial"/>
          <w:color w:val="262626"/>
          <w:sz w:val="22"/>
          <w:szCs w:val="22"/>
          <w:vertAlign w:val="subscript"/>
          <w:lang w:val="en-US"/>
        </w:rPr>
        <w:t>4</w:t>
      </w:r>
      <w:r w:rsidRPr="001E1718">
        <w:rPr>
          <w:rFonts w:ascii="Times" w:hAnsi="Times" w:cs="Arial"/>
          <w:color w:val="262626"/>
          <w:sz w:val="22"/>
          <w:szCs w:val="22"/>
          <w:lang w:val="en-US"/>
        </w:rPr>
        <w:t xml:space="preserve"> analogue system. The propagation of these fractures is sufficiently rapid to radiate energy in the form of intense acoustic emissions (AEs). Using a similar set-up, a second set of experiments demonstrates that </w:t>
      </w:r>
      <w:proofErr w:type="spellStart"/>
      <w:r w:rsidRPr="001E1718">
        <w:rPr>
          <w:rFonts w:ascii="Times" w:hAnsi="Times" w:cs="Arial"/>
          <w:color w:val="262626"/>
          <w:sz w:val="22"/>
          <w:szCs w:val="22"/>
          <w:lang w:val="en-US"/>
        </w:rPr>
        <w:t>glaucophane</w:t>
      </w:r>
      <w:proofErr w:type="spellEnd"/>
      <w:r w:rsidRPr="001E1718">
        <w:rPr>
          <w:rFonts w:ascii="Times" w:hAnsi="Times" w:cs="Arial"/>
          <w:color w:val="262626"/>
          <w:sz w:val="22"/>
          <w:szCs w:val="22"/>
          <w:lang w:val="en-US"/>
        </w:rPr>
        <w:t xml:space="preserve"> and </w:t>
      </w:r>
      <w:proofErr w:type="spellStart"/>
      <w:r w:rsidRPr="001E1718">
        <w:rPr>
          <w:rFonts w:ascii="Times" w:hAnsi="Times" w:cs="Arial"/>
          <w:color w:val="262626"/>
          <w:sz w:val="22"/>
          <w:szCs w:val="22"/>
          <w:lang w:val="en-US"/>
        </w:rPr>
        <w:t>lawsonite</w:t>
      </w:r>
      <w:proofErr w:type="spellEnd"/>
      <w:r w:rsidRPr="001E1718">
        <w:rPr>
          <w:rFonts w:ascii="Times" w:hAnsi="Times" w:cs="Arial"/>
          <w:color w:val="262626"/>
          <w:sz w:val="22"/>
          <w:szCs w:val="22"/>
          <w:lang w:val="en-US"/>
        </w:rPr>
        <w:t xml:space="preserve"> mixtures, two of the principal mineral water carriers in the </w:t>
      </w:r>
      <w:proofErr w:type="spellStart"/>
      <w:r w:rsidRPr="001E1718">
        <w:rPr>
          <w:rFonts w:ascii="Times" w:hAnsi="Times" w:cs="Arial"/>
          <w:color w:val="262626"/>
          <w:sz w:val="22"/>
          <w:szCs w:val="22"/>
          <w:lang w:val="en-US"/>
        </w:rPr>
        <w:t>subducted</w:t>
      </w:r>
      <w:proofErr w:type="spellEnd"/>
      <w:r w:rsidRPr="001E1718">
        <w:rPr>
          <w:rFonts w:ascii="Times" w:hAnsi="Times" w:cs="Arial"/>
          <w:color w:val="262626"/>
          <w:sz w:val="22"/>
          <w:szCs w:val="22"/>
          <w:lang w:val="en-US"/>
        </w:rPr>
        <w:t xml:space="preserve"> oceanic crust, undergo dynamic fracture instabilities when deformed within the </w:t>
      </w:r>
      <w:proofErr w:type="spellStart"/>
      <w:r w:rsidRPr="001E1718">
        <w:rPr>
          <w:rFonts w:ascii="Times" w:hAnsi="Times" w:cs="Arial"/>
          <w:color w:val="262626"/>
          <w:sz w:val="22"/>
          <w:szCs w:val="22"/>
          <w:lang w:val="en-US"/>
        </w:rPr>
        <w:t>eclogite</w:t>
      </w:r>
      <w:proofErr w:type="spellEnd"/>
      <w:r w:rsidRPr="001E1718">
        <w:rPr>
          <w:rFonts w:ascii="Times" w:hAnsi="Times" w:cs="Arial"/>
          <w:color w:val="262626"/>
          <w:sz w:val="22"/>
          <w:szCs w:val="22"/>
          <w:lang w:val="en-US"/>
        </w:rPr>
        <w:t xml:space="preserve"> field (3GPa/400-800°C). This time, AEs are observed due respectively to the </w:t>
      </w:r>
      <w:proofErr w:type="spellStart"/>
      <w:r w:rsidRPr="001E1718">
        <w:rPr>
          <w:rFonts w:ascii="Times" w:hAnsi="Times" w:cs="Arial"/>
          <w:color w:val="262626"/>
          <w:sz w:val="22"/>
          <w:szCs w:val="22"/>
          <w:lang w:val="en-US"/>
        </w:rPr>
        <w:t>glaucophane</w:t>
      </w:r>
      <w:proofErr w:type="spellEnd"/>
      <w:r w:rsidRPr="001E1718">
        <w:rPr>
          <w:rFonts w:ascii="Times" w:hAnsi="Times" w:cs="Arial"/>
          <w:color w:val="262626"/>
          <w:sz w:val="22"/>
          <w:szCs w:val="22"/>
          <w:lang w:val="en-US"/>
        </w:rPr>
        <w:t xml:space="preserve"> breakdown into jadeite and talc under low temperature and </w:t>
      </w:r>
      <w:proofErr w:type="spellStart"/>
      <w:r w:rsidRPr="001E1718">
        <w:rPr>
          <w:rFonts w:ascii="Times" w:hAnsi="Times" w:cs="Arial"/>
          <w:color w:val="262626"/>
          <w:sz w:val="22"/>
          <w:szCs w:val="22"/>
          <w:lang w:val="en-US"/>
        </w:rPr>
        <w:t>lawsonite</w:t>
      </w:r>
      <w:proofErr w:type="spellEnd"/>
      <w:r w:rsidRPr="001E1718">
        <w:rPr>
          <w:rFonts w:ascii="Times" w:hAnsi="Times" w:cs="Arial"/>
          <w:color w:val="262626"/>
          <w:sz w:val="22"/>
          <w:szCs w:val="22"/>
          <w:lang w:val="en-US"/>
        </w:rPr>
        <w:t xml:space="preserve"> dehydration under higher temperature. Finally, deformation experiments performed on partially </w:t>
      </w:r>
      <w:proofErr w:type="spellStart"/>
      <w:r w:rsidRPr="001E1718">
        <w:rPr>
          <w:rFonts w:ascii="Times" w:hAnsi="Times" w:cs="Arial"/>
          <w:color w:val="262626"/>
          <w:sz w:val="22"/>
          <w:szCs w:val="22"/>
          <w:lang w:val="en-US"/>
        </w:rPr>
        <w:t>serpentinized</w:t>
      </w:r>
      <w:proofErr w:type="spellEnd"/>
      <w:r w:rsidRPr="001E1718">
        <w:rPr>
          <w:rFonts w:ascii="Times" w:hAnsi="Times" w:cs="Arial"/>
          <w:color w:val="262626"/>
          <w:sz w:val="22"/>
          <w:szCs w:val="22"/>
          <w:lang w:val="en-US"/>
        </w:rPr>
        <w:t xml:space="preserve"> peridotites at 2-4</w:t>
      </w:r>
      <w:r>
        <w:rPr>
          <w:rFonts w:ascii="Times" w:hAnsi="Times" w:cs="Arial"/>
          <w:color w:val="262626"/>
          <w:sz w:val="22"/>
          <w:szCs w:val="22"/>
          <w:lang w:val="en-US"/>
        </w:rPr>
        <w:t xml:space="preserve"> </w:t>
      </w:r>
      <w:proofErr w:type="spellStart"/>
      <w:r w:rsidRPr="001E1718">
        <w:rPr>
          <w:rFonts w:ascii="Times" w:hAnsi="Times" w:cs="Arial"/>
          <w:color w:val="262626"/>
          <w:sz w:val="22"/>
          <w:szCs w:val="22"/>
          <w:lang w:val="en-US"/>
        </w:rPr>
        <w:t>GPa</w:t>
      </w:r>
      <w:proofErr w:type="spellEnd"/>
      <w:r w:rsidRPr="001E1718">
        <w:rPr>
          <w:rFonts w:ascii="Times" w:hAnsi="Times" w:cs="Arial"/>
          <w:color w:val="262626"/>
          <w:sz w:val="22"/>
          <w:szCs w:val="22"/>
          <w:lang w:val="en-US"/>
        </w:rPr>
        <w:t xml:space="preserve">, 500-700°C, demonstrate that 5% serpentine in sufficient to trigger dehydration embrittlement of the peridotite body. In this case, low serpentine contents may favor initiation of mechanical failure of the olivine “load bearing” network. </w:t>
      </w:r>
    </w:p>
    <w:p w:rsidR="001E1718" w:rsidRPr="001E1718" w:rsidRDefault="001E1718" w:rsidP="001E1718">
      <w:pPr>
        <w:spacing w:after="100"/>
        <w:jc w:val="both"/>
        <w:rPr>
          <w:rFonts w:ascii="Times" w:hAnsi="Times"/>
          <w:sz w:val="22"/>
          <w:szCs w:val="22"/>
        </w:rPr>
      </w:pPr>
      <w:r>
        <w:rPr>
          <w:rFonts w:ascii="Times" w:hAnsi="Times" w:cs="Arial"/>
          <w:color w:val="262626"/>
          <w:sz w:val="22"/>
          <w:szCs w:val="22"/>
          <w:lang w:val="en-US"/>
        </w:rPr>
        <w:t xml:space="preserve">  </w:t>
      </w:r>
      <w:r w:rsidRPr="001E1718">
        <w:rPr>
          <w:rFonts w:ascii="Times" w:hAnsi="Times" w:cs="Arial"/>
          <w:color w:val="262626"/>
          <w:sz w:val="22"/>
          <w:szCs w:val="22"/>
          <w:lang w:val="en-US"/>
        </w:rPr>
        <w:t xml:space="preserve">Put together, our observations provide strong experimental evidence of the role played by mineral reactions on earthquake triggering in mantle conditions, both in the </w:t>
      </w:r>
      <w:proofErr w:type="spellStart"/>
      <w:r w:rsidRPr="001E1718">
        <w:rPr>
          <w:rFonts w:ascii="Times" w:hAnsi="Times" w:cs="Arial"/>
          <w:color w:val="262626"/>
          <w:sz w:val="22"/>
          <w:szCs w:val="22"/>
          <w:lang w:val="en-US"/>
        </w:rPr>
        <w:t>Wadati</w:t>
      </w:r>
      <w:proofErr w:type="spellEnd"/>
      <w:r w:rsidRPr="001E1718">
        <w:rPr>
          <w:rFonts w:ascii="Times" w:hAnsi="Times" w:cs="Arial"/>
          <w:color w:val="262626"/>
          <w:sz w:val="22"/>
          <w:szCs w:val="22"/>
          <w:lang w:val="en-US"/>
        </w:rPr>
        <w:t xml:space="preserve">-Benioff double plane of seismicity and </w:t>
      </w:r>
      <w:r>
        <w:rPr>
          <w:rFonts w:ascii="Times" w:hAnsi="Times" w:cs="Arial"/>
          <w:color w:val="262626"/>
          <w:sz w:val="22"/>
          <w:szCs w:val="22"/>
          <w:lang w:val="en-US"/>
        </w:rPr>
        <w:t xml:space="preserve">in </w:t>
      </w:r>
      <w:r w:rsidRPr="001E1718">
        <w:rPr>
          <w:rFonts w:ascii="Times" w:hAnsi="Times" w:cs="Arial"/>
          <w:color w:val="262626"/>
          <w:sz w:val="22"/>
          <w:szCs w:val="22"/>
          <w:lang w:val="en-US"/>
        </w:rPr>
        <w:t>the Earth mantle's transition zone.</w:t>
      </w:r>
    </w:p>
    <w:p w:rsidR="001E1718" w:rsidRPr="001E1718" w:rsidRDefault="001E1718" w:rsidP="001E1718">
      <w:pPr>
        <w:widowControl w:val="0"/>
        <w:autoSpaceDE w:val="0"/>
        <w:autoSpaceDN w:val="0"/>
        <w:adjustRightInd w:val="0"/>
        <w:jc w:val="both"/>
        <w:rPr>
          <w:rFonts w:ascii="Times" w:hAnsi="Times" w:cs="Helvetica"/>
          <w:b/>
          <w:color w:val="000090"/>
          <w:lang w:val="en-US"/>
        </w:rPr>
      </w:pPr>
    </w:p>
    <w:p w:rsidR="001E1718" w:rsidRPr="001E1718" w:rsidRDefault="001E1718" w:rsidP="001E1718">
      <w:pPr>
        <w:spacing w:after="60"/>
        <w:jc w:val="both"/>
        <w:rPr>
          <w:rFonts w:ascii="Arial Narrow" w:hAnsi="Arial Narrow"/>
          <w:b/>
          <w:i/>
          <w:color w:val="000000"/>
          <w:sz w:val="20"/>
          <w:szCs w:val="20"/>
          <w:lang w:val="en-US"/>
        </w:rPr>
      </w:pPr>
      <w:bookmarkStart w:id="0" w:name="_GoBack"/>
      <w:r>
        <w:rPr>
          <w:noProof/>
          <w:lang w:val="fr-CH" w:eastAsia="fr-CH"/>
        </w:rPr>
        <w:drawing>
          <wp:anchor distT="0" distB="0" distL="114300" distR="114300" simplePos="0" relativeHeight="251658240" behindDoc="0" locked="0" layoutInCell="1" allowOverlap="1" wp14:anchorId="2C6254EE" wp14:editId="5360E9A7">
            <wp:simplePos x="0" y="0"/>
            <wp:positionH relativeFrom="column">
              <wp:posOffset>0</wp:posOffset>
            </wp:positionH>
            <wp:positionV relativeFrom="paragraph">
              <wp:posOffset>1905</wp:posOffset>
            </wp:positionV>
            <wp:extent cx="3886200" cy="3422015"/>
            <wp:effectExtent l="0" t="0" r="0" b="6985"/>
            <wp:wrapTight wrapText="bothSides">
              <wp:wrapPolygon edited="0">
                <wp:start x="0" y="0"/>
                <wp:lineTo x="0" y="21484"/>
                <wp:lineTo x="21459" y="21484"/>
                <wp:lineTo x="21459"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5">
                      <a:extLst>
                        <a:ext uri="{28A0092B-C50C-407E-A947-70E740481C1C}">
                          <a14:useLocalDpi xmlns:a14="http://schemas.microsoft.com/office/drawing/2010/main" val="0"/>
                        </a:ext>
                      </a:extLst>
                    </a:blip>
                    <a:srcRect t="7969"/>
                    <a:stretch/>
                  </pic:blipFill>
                  <pic:spPr bwMode="auto">
                    <a:xfrm>
                      <a:off x="0" y="0"/>
                      <a:ext cx="3886200" cy="34220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0"/>
      <w:r w:rsidRPr="001E1718">
        <w:rPr>
          <w:rFonts w:ascii="Arial Narrow" w:hAnsi="Arial Narrow"/>
          <w:b/>
          <w:i/>
          <w:color w:val="000000"/>
          <w:sz w:val="20"/>
          <w:szCs w:val="20"/>
          <w:lang w:val="en-US"/>
        </w:rPr>
        <w:t xml:space="preserve"> </w:t>
      </w:r>
      <w:proofErr w:type="gramStart"/>
      <w:r w:rsidRPr="00B9124C">
        <w:rPr>
          <w:rFonts w:ascii="Arial Narrow" w:hAnsi="Arial Narrow"/>
          <w:b/>
          <w:i/>
          <w:color w:val="000000"/>
          <w:sz w:val="21"/>
          <w:szCs w:val="21"/>
          <w:lang w:val="en-US"/>
        </w:rPr>
        <w:t>M</w:t>
      </w:r>
      <w:r>
        <w:rPr>
          <w:rFonts w:ascii="Arial Narrow" w:hAnsi="Arial Narrow"/>
          <w:b/>
          <w:i/>
          <w:color w:val="000000"/>
          <w:sz w:val="21"/>
          <w:szCs w:val="21"/>
          <w:lang w:val="en-US"/>
        </w:rPr>
        <w:t xml:space="preserve">inerals, </w:t>
      </w:r>
      <w:r w:rsidRPr="00B9124C">
        <w:rPr>
          <w:rFonts w:ascii="Arial Narrow" w:hAnsi="Arial Narrow"/>
          <w:b/>
          <w:i/>
          <w:color w:val="000000"/>
          <w:sz w:val="21"/>
          <w:szCs w:val="21"/>
          <w:lang w:val="en-US"/>
        </w:rPr>
        <w:t>mechanisms and scales.</w:t>
      </w:r>
      <w:proofErr w:type="gramEnd"/>
      <w:r w:rsidRPr="00B9124C">
        <w:rPr>
          <w:rFonts w:ascii="Arial Narrow" w:hAnsi="Arial Narrow"/>
          <w:b/>
          <w:i/>
          <w:color w:val="000000"/>
          <w:sz w:val="21"/>
          <w:szCs w:val="21"/>
          <w:lang w:val="en-US"/>
        </w:rPr>
        <w:t xml:space="preserve">  A-</w:t>
      </w:r>
      <w:r w:rsidRPr="00B9124C">
        <w:rPr>
          <w:rFonts w:ascii="Arial Narrow" w:hAnsi="Arial Narrow"/>
          <w:i/>
          <w:color w:val="000000"/>
          <w:sz w:val="21"/>
          <w:szCs w:val="21"/>
          <w:lang w:val="en-US"/>
        </w:rPr>
        <w:t xml:space="preserve"> SEM (Scanning Electron Micrograph) of a molten contact asperity in granite (from </w:t>
      </w:r>
      <w:proofErr w:type="spellStart"/>
      <w:r w:rsidRPr="00B9124C">
        <w:rPr>
          <w:rFonts w:ascii="Arial Narrow" w:hAnsi="Arial Narrow"/>
          <w:i/>
          <w:color w:val="0000FF"/>
          <w:sz w:val="21"/>
          <w:szCs w:val="21"/>
          <w:lang w:val="en-US"/>
        </w:rPr>
        <w:t>Passelègue</w:t>
      </w:r>
      <w:proofErr w:type="spellEnd"/>
      <w:r w:rsidRPr="00B9124C">
        <w:rPr>
          <w:rFonts w:ascii="Arial Narrow" w:hAnsi="Arial Narrow"/>
          <w:i/>
          <w:color w:val="0000FF"/>
          <w:sz w:val="21"/>
          <w:szCs w:val="21"/>
          <w:lang w:val="en-US"/>
        </w:rPr>
        <w:t xml:space="preserve"> 2014</w:t>
      </w:r>
      <w:r w:rsidRPr="00B9124C">
        <w:rPr>
          <w:rFonts w:ascii="Arial Narrow" w:hAnsi="Arial Narrow"/>
          <w:i/>
          <w:color w:val="000000"/>
          <w:sz w:val="21"/>
          <w:szCs w:val="21"/>
          <w:lang w:val="en-US"/>
        </w:rPr>
        <w:t xml:space="preserve">) at 200MPa (≈6km depth). </w:t>
      </w:r>
      <w:r w:rsidRPr="00B9124C">
        <w:rPr>
          <w:rFonts w:ascii="Arial Narrow" w:hAnsi="Arial Narrow"/>
          <w:b/>
          <w:i/>
          <w:color w:val="000000"/>
          <w:sz w:val="21"/>
          <w:szCs w:val="21"/>
          <w:lang w:val="en-US"/>
        </w:rPr>
        <w:t>B-</w:t>
      </w:r>
      <w:r w:rsidRPr="00B9124C">
        <w:rPr>
          <w:rFonts w:ascii="Arial Narrow" w:hAnsi="Arial Narrow"/>
          <w:i/>
          <w:color w:val="000000"/>
          <w:sz w:val="21"/>
          <w:szCs w:val="21"/>
          <w:lang w:val="en-US"/>
        </w:rPr>
        <w:t xml:space="preserve"> Molten asperity in a serpentine sample exhibits foam like microstructures. A FIB section (Focus Ion Beam, white line) was performed for TEM (Transmitted Electron Microscopy) observation. </w:t>
      </w:r>
      <w:r w:rsidRPr="00B9124C">
        <w:rPr>
          <w:rFonts w:ascii="Arial Narrow" w:hAnsi="Arial Narrow"/>
          <w:b/>
          <w:i/>
          <w:color w:val="000000"/>
          <w:sz w:val="21"/>
          <w:szCs w:val="21"/>
          <w:lang w:val="en-US"/>
        </w:rPr>
        <w:t>C-</w:t>
      </w:r>
      <w:r w:rsidRPr="00B9124C">
        <w:rPr>
          <w:rFonts w:ascii="Arial Narrow" w:hAnsi="Arial Narrow"/>
          <w:i/>
          <w:color w:val="000000"/>
          <w:sz w:val="21"/>
          <w:szCs w:val="21"/>
          <w:lang w:val="en-US"/>
        </w:rPr>
        <w:t xml:space="preserve"> TEM image of the serpentine dehydration reaction front (white arrows) below the asperity seen in B. The reaction produced intense fault lubrication and complete stress drop (from </w:t>
      </w:r>
      <w:proofErr w:type="spellStart"/>
      <w:r w:rsidRPr="00B9124C">
        <w:rPr>
          <w:rFonts w:ascii="Arial Narrow" w:hAnsi="Arial Narrow"/>
          <w:i/>
          <w:color w:val="0000FF"/>
          <w:sz w:val="21"/>
          <w:szCs w:val="21"/>
          <w:lang w:val="en-US"/>
        </w:rPr>
        <w:t>Brantut</w:t>
      </w:r>
      <w:proofErr w:type="spellEnd"/>
      <w:r w:rsidRPr="00B9124C">
        <w:rPr>
          <w:rFonts w:ascii="Arial Narrow" w:hAnsi="Arial Narrow"/>
          <w:i/>
          <w:color w:val="0000FF"/>
          <w:sz w:val="21"/>
          <w:szCs w:val="21"/>
          <w:lang w:val="en-US"/>
        </w:rPr>
        <w:t xml:space="preserve"> et al. 201</w:t>
      </w:r>
      <w:r>
        <w:rPr>
          <w:rFonts w:ascii="Arial Narrow" w:hAnsi="Arial Narrow"/>
          <w:i/>
          <w:color w:val="0000FF"/>
          <w:sz w:val="21"/>
          <w:szCs w:val="21"/>
          <w:lang w:val="en-US"/>
        </w:rPr>
        <w:t>6</w:t>
      </w:r>
      <w:r w:rsidRPr="00B9124C">
        <w:rPr>
          <w:rFonts w:ascii="Arial Narrow" w:hAnsi="Arial Narrow"/>
          <w:i/>
          <w:color w:val="000000"/>
          <w:sz w:val="21"/>
          <w:szCs w:val="21"/>
          <w:lang w:val="en-US"/>
        </w:rPr>
        <w:t xml:space="preserve">). </w:t>
      </w:r>
      <w:r w:rsidRPr="00B9124C">
        <w:rPr>
          <w:rFonts w:ascii="Arial Narrow" w:hAnsi="Arial Narrow"/>
          <w:b/>
          <w:i/>
          <w:color w:val="000000"/>
          <w:sz w:val="21"/>
          <w:szCs w:val="21"/>
          <w:lang w:val="en-US"/>
        </w:rPr>
        <w:t>D-</w:t>
      </w:r>
      <w:r w:rsidRPr="00B9124C">
        <w:rPr>
          <w:rFonts w:ascii="Arial Narrow" w:hAnsi="Arial Narrow"/>
          <w:i/>
          <w:color w:val="000000"/>
          <w:sz w:val="21"/>
          <w:szCs w:val="21"/>
          <w:lang w:val="en-US"/>
        </w:rPr>
        <w:t xml:space="preserve"> Quenched deep earthquake fault zone seen in TEM. The fault was produced at </w:t>
      </w:r>
      <w:r w:rsidRPr="00B9124C">
        <w:rPr>
          <w:rFonts w:ascii="Symbol" w:hAnsi="Symbol"/>
          <w:i/>
          <w:color w:val="000000"/>
          <w:sz w:val="21"/>
          <w:szCs w:val="21"/>
          <w:lang w:val="en-US"/>
        </w:rPr>
        <w:t></w:t>
      </w:r>
      <w:r w:rsidRPr="00B9124C">
        <w:rPr>
          <w:rFonts w:ascii="Arial Narrow" w:hAnsi="Arial Narrow"/>
          <w:i/>
          <w:color w:val="000000"/>
          <w:sz w:val="21"/>
          <w:szCs w:val="21"/>
          <w:vertAlign w:val="subscript"/>
          <w:lang w:val="en-US"/>
        </w:rPr>
        <w:t>n</w:t>
      </w:r>
      <w:r w:rsidRPr="00B9124C">
        <w:rPr>
          <w:rFonts w:ascii="Arial Narrow" w:hAnsi="Arial Narrow"/>
          <w:i/>
          <w:color w:val="000000"/>
          <w:sz w:val="21"/>
          <w:szCs w:val="21"/>
          <w:lang w:val="en-US"/>
        </w:rPr>
        <w:t xml:space="preserve"> = 5GPa and T=900°C. The fault ‘gouge’ material (red arrows) consists of spinel structure germanium olivine, fully crystalline (</w:t>
      </w:r>
      <w:r w:rsidRPr="00B9124C">
        <w:rPr>
          <w:rFonts w:ascii="Arial Narrow" w:hAnsi="Arial Narrow"/>
          <w:b/>
          <w:i/>
          <w:color w:val="000000"/>
          <w:sz w:val="21"/>
          <w:szCs w:val="21"/>
          <w:lang w:val="en-US"/>
        </w:rPr>
        <w:t>E</w:t>
      </w:r>
      <w:r>
        <w:rPr>
          <w:rFonts w:ascii="Arial Narrow" w:hAnsi="Arial Narrow"/>
          <w:i/>
          <w:color w:val="000000"/>
          <w:sz w:val="21"/>
          <w:szCs w:val="21"/>
          <w:lang w:val="en-US"/>
        </w:rPr>
        <w:t>)</w:t>
      </w:r>
      <w:r w:rsidRPr="00B9124C">
        <w:rPr>
          <w:rFonts w:ascii="Arial Narrow" w:hAnsi="Arial Narrow"/>
          <w:i/>
          <w:color w:val="000000"/>
          <w:sz w:val="21"/>
          <w:szCs w:val="21"/>
          <w:lang w:val="en-US"/>
        </w:rPr>
        <w:t xml:space="preserve"> (from </w:t>
      </w:r>
      <w:proofErr w:type="spellStart"/>
      <w:r w:rsidRPr="00B9124C">
        <w:rPr>
          <w:rFonts w:ascii="Arial Narrow" w:hAnsi="Arial Narrow"/>
          <w:i/>
          <w:color w:val="0000FF"/>
          <w:sz w:val="21"/>
          <w:szCs w:val="21"/>
          <w:lang w:val="en-US"/>
        </w:rPr>
        <w:t>Schubnel</w:t>
      </w:r>
      <w:proofErr w:type="spellEnd"/>
      <w:r w:rsidRPr="00B9124C">
        <w:rPr>
          <w:rFonts w:ascii="Arial Narrow" w:hAnsi="Arial Narrow"/>
          <w:i/>
          <w:color w:val="0000FF"/>
          <w:sz w:val="21"/>
          <w:szCs w:val="21"/>
          <w:lang w:val="en-US"/>
        </w:rPr>
        <w:t xml:space="preserve"> et al. 2013</w:t>
      </w:r>
      <w:r w:rsidRPr="00B9124C">
        <w:rPr>
          <w:rFonts w:ascii="Arial Narrow" w:hAnsi="Arial Narrow"/>
          <w:i/>
          <w:color w:val="000000"/>
          <w:sz w:val="21"/>
          <w:szCs w:val="21"/>
          <w:lang w:val="en-US"/>
        </w:rPr>
        <w:t>).</w:t>
      </w:r>
    </w:p>
    <w:p w:rsidR="001E1718" w:rsidRPr="001E1718" w:rsidRDefault="001E1718" w:rsidP="001E1718">
      <w:pPr>
        <w:widowControl w:val="0"/>
        <w:autoSpaceDE w:val="0"/>
        <w:autoSpaceDN w:val="0"/>
        <w:adjustRightInd w:val="0"/>
        <w:jc w:val="both"/>
        <w:rPr>
          <w:rFonts w:ascii="Times" w:hAnsi="Times" w:cs="Arial"/>
          <w:color w:val="262626"/>
          <w:lang w:val="en-US"/>
        </w:rPr>
      </w:pPr>
    </w:p>
    <w:sectPr w:rsidR="001E1718" w:rsidRPr="001E1718" w:rsidSect="00550F71">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ucida Grande">
    <w:charset w:val="00"/>
    <w:family w:val="auto"/>
    <w:pitch w:val="variable"/>
    <w:sig w:usb0="E1000AEF" w:usb1="5000A1FF" w:usb2="00000000" w:usb3="00000000" w:csb0="000001BF" w:csb1="00000000"/>
  </w:font>
  <w:font w:name="Times">
    <w:panose1 w:val="0202060306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3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1718"/>
    <w:rsid w:val="0013744C"/>
    <w:rsid w:val="001E1718"/>
    <w:rsid w:val="00550F71"/>
    <w:rsid w:val="007316A1"/>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1E1718"/>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1E1718"/>
    <w:rPr>
      <w:rFonts w:ascii="Lucida Grande" w:hAnsi="Lucida Grande" w:cs="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1E1718"/>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1E1718"/>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405</Words>
  <Characters>2228</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Buehl-Brauch Yvonne</cp:lastModifiedBy>
  <cp:revision>2</cp:revision>
  <dcterms:created xsi:type="dcterms:W3CDTF">2016-03-11T08:34:00Z</dcterms:created>
  <dcterms:modified xsi:type="dcterms:W3CDTF">2016-03-11T08:34:00Z</dcterms:modified>
</cp:coreProperties>
</file>