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AFB562" w14:textId="77777777" w:rsidR="000E27FB" w:rsidRDefault="000E27FB" w:rsidP="00D876DD">
      <w:pPr>
        <w:spacing w:before="200"/>
        <w:jc w:val="center"/>
        <w:rPr>
          <w:rFonts w:ascii="Calibri" w:hAnsi="Calibri"/>
          <w:b/>
          <w:color w:val="C0504D"/>
          <w:sz w:val="48"/>
          <w:szCs w:val="48"/>
        </w:rPr>
      </w:pPr>
    </w:p>
    <w:p w14:paraId="1FCE6A5D" w14:textId="77777777" w:rsidR="000E27FB" w:rsidRPr="000E2F7D" w:rsidRDefault="000E27FB" w:rsidP="00D876DD">
      <w:pPr>
        <w:spacing w:before="200"/>
        <w:jc w:val="center"/>
        <w:rPr>
          <w:rFonts w:ascii="Calibri" w:hAnsi="Calibri"/>
          <w:b/>
          <w:color w:val="C0504D"/>
          <w:sz w:val="48"/>
          <w:szCs w:val="48"/>
        </w:rPr>
      </w:pPr>
      <w:r w:rsidRPr="000E2F7D">
        <w:rPr>
          <w:rFonts w:ascii="Calibri" w:hAnsi="Calibri"/>
          <w:b/>
          <w:color w:val="C0504D"/>
          <w:sz w:val="48"/>
          <w:szCs w:val="48"/>
        </w:rPr>
        <w:t>ENERGYPOLIS SEMINAR</w:t>
      </w:r>
    </w:p>
    <w:p w14:paraId="4CD32BB4" w14:textId="43BA4F0F" w:rsidR="000E27FB" w:rsidRPr="00D876DD" w:rsidRDefault="000E27FB" w:rsidP="00D876D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CA73AE">
        <w:rPr>
          <w:rFonts w:ascii="Calibri" w:hAnsi="Calibri"/>
          <w:b/>
        </w:rPr>
        <w:t>6</w:t>
      </w:r>
      <w:r w:rsidRPr="00D876DD">
        <w:rPr>
          <w:rFonts w:ascii="Calibri" w:hAnsi="Calibri"/>
          <w:b/>
        </w:rPr>
        <w:t xml:space="preserve">. </w:t>
      </w:r>
      <w:r w:rsidR="00BE0771">
        <w:rPr>
          <w:rFonts w:ascii="Calibri" w:hAnsi="Calibri"/>
          <w:b/>
        </w:rPr>
        <w:t>1</w:t>
      </w:r>
      <w:r w:rsidR="00CA73AE">
        <w:rPr>
          <w:rFonts w:ascii="Calibri" w:hAnsi="Calibri"/>
          <w:b/>
        </w:rPr>
        <w:t>1</w:t>
      </w:r>
      <w:bookmarkStart w:id="0" w:name="_GoBack"/>
      <w:bookmarkEnd w:id="0"/>
      <w:r w:rsidRPr="00D876DD">
        <w:rPr>
          <w:rFonts w:ascii="Calibri" w:hAnsi="Calibri"/>
          <w:b/>
        </w:rPr>
        <w:t>. 2015, 1</w:t>
      </w:r>
      <w:r>
        <w:rPr>
          <w:rFonts w:ascii="Calibri" w:hAnsi="Calibri"/>
          <w:b/>
        </w:rPr>
        <w:t>6</w:t>
      </w:r>
      <w:r w:rsidRPr="00D876DD">
        <w:rPr>
          <w:rFonts w:ascii="Calibri" w:hAnsi="Calibri"/>
          <w:b/>
        </w:rPr>
        <w:t>:00 - 1</w:t>
      </w:r>
      <w:r>
        <w:rPr>
          <w:rFonts w:ascii="Calibri" w:hAnsi="Calibri"/>
          <w:b/>
        </w:rPr>
        <w:t>7</w:t>
      </w:r>
      <w:r w:rsidRPr="00D876DD">
        <w:rPr>
          <w:rFonts w:ascii="Calibri" w:hAnsi="Calibri"/>
          <w:b/>
        </w:rPr>
        <w:t>:00, ENERGYPOLIS Sion, 4</w:t>
      </w:r>
      <w:r w:rsidRPr="00D876DD">
        <w:rPr>
          <w:rFonts w:ascii="Calibri" w:hAnsi="Calibri"/>
          <w:b/>
          <w:vertAlign w:val="superscript"/>
        </w:rPr>
        <w:t>th</w:t>
      </w:r>
      <w:r w:rsidRPr="00D876DD">
        <w:rPr>
          <w:rFonts w:ascii="Calibri" w:hAnsi="Calibri"/>
          <w:b/>
        </w:rPr>
        <w:t xml:space="preserve"> floor, Seminar</w:t>
      </w:r>
      <w:r>
        <w:rPr>
          <w:rFonts w:ascii="Calibri" w:hAnsi="Calibri"/>
          <w:b/>
        </w:rPr>
        <w:t xml:space="preserve"> </w:t>
      </w:r>
      <w:r w:rsidRPr="00D876DD">
        <w:rPr>
          <w:rFonts w:ascii="Calibri" w:hAnsi="Calibri"/>
          <w:b/>
        </w:rPr>
        <w:t>room</w:t>
      </w:r>
    </w:p>
    <w:p w14:paraId="5C4081E3" w14:textId="77777777" w:rsidR="000E27FB" w:rsidRDefault="000E27FB">
      <w:pPr>
        <w:rPr>
          <w:rFonts w:ascii="Calibri" w:hAnsi="Calibri"/>
        </w:rPr>
      </w:pPr>
    </w:p>
    <w:p w14:paraId="31C3D814" w14:textId="77777777" w:rsidR="000E27FB" w:rsidRPr="00617DCB" w:rsidRDefault="000E27FB">
      <w:pPr>
        <w:rPr>
          <w:rFonts w:ascii="Calibri" w:hAnsi="Calibri"/>
        </w:rPr>
      </w:pPr>
    </w:p>
    <w:p w14:paraId="41453F59" w14:textId="77777777" w:rsidR="000E27FB" w:rsidRPr="000C38C2" w:rsidRDefault="000E27FB" w:rsidP="000C38C2">
      <w:pPr>
        <w:pStyle w:val="HTMLPreformatted"/>
        <w:jc w:val="center"/>
        <w:rPr>
          <w:b/>
          <w:sz w:val="28"/>
          <w:szCs w:val="28"/>
          <w:lang w:val="en-GB"/>
        </w:rPr>
      </w:pPr>
      <w:r w:rsidRPr="000C38C2">
        <w:rPr>
          <w:b/>
          <w:sz w:val="28"/>
          <w:szCs w:val="28"/>
          <w:lang w:val="en-GB"/>
        </w:rPr>
        <w:t>Phase transitions in A</w:t>
      </w:r>
      <w:r w:rsidRPr="000C38C2">
        <w:rPr>
          <w:b/>
          <w:sz w:val="28"/>
          <w:szCs w:val="28"/>
          <w:vertAlign w:val="superscript"/>
          <w:lang w:val="en-GB"/>
        </w:rPr>
        <w:t>2+</w:t>
      </w:r>
      <w:r w:rsidRPr="000C38C2">
        <w:rPr>
          <w:b/>
          <w:sz w:val="28"/>
          <w:szCs w:val="28"/>
          <w:lang w:val="en-GB"/>
        </w:rPr>
        <w:t>B</w:t>
      </w:r>
      <w:r w:rsidRPr="000C38C2">
        <w:rPr>
          <w:b/>
          <w:sz w:val="28"/>
          <w:szCs w:val="28"/>
          <w:vertAlign w:val="superscript"/>
          <w:lang w:val="en-GB"/>
        </w:rPr>
        <w:t>2+</w:t>
      </w:r>
      <w:r w:rsidRPr="000C38C2">
        <w:rPr>
          <w:b/>
          <w:sz w:val="28"/>
          <w:szCs w:val="28"/>
          <w:lang w:val="en-GB"/>
        </w:rPr>
        <w:t>PO</w:t>
      </w:r>
      <w:r w:rsidRPr="000C38C2">
        <w:rPr>
          <w:b/>
          <w:sz w:val="28"/>
          <w:szCs w:val="28"/>
          <w:vertAlign w:val="subscript"/>
          <w:lang w:val="en-GB"/>
        </w:rPr>
        <w:t>4</w:t>
      </w:r>
      <w:r w:rsidRPr="000C38C2">
        <w:rPr>
          <w:b/>
          <w:sz w:val="28"/>
          <w:szCs w:val="28"/>
          <w:lang w:val="en-GB"/>
        </w:rPr>
        <w:t xml:space="preserve"> zeolite-type compounds</w:t>
      </w:r>
    </w:p>
    <w:p w14:paraId="189C0922" w14:textId="77777777" w:rsidR="000E27FB" w:rsidRPr="00D876DD" w:rsidRDefault="000E27FB" w:rsidP="00D876DD">
      <w:pPr>
        <w:jc w:val="center"/>
        <w:rPr>
          <w:rFonts w:ascii="Calibri" w:hAnsi="Calibri"/>
          <w:b/>
          <w:sz w:val="32"/>
          <w:szCs w:val="32"/>
        </w:rPr>
      </w:pPr>
    </w:p>
    <w:p w14:paraId="351721FD" w14:textId="77777777" w:rsidR="000E27FB" w:rsidRPr="00F339F0" w:rsidRDefault="000E27FB" w:rsidP="006C1EA2">
      <w:pPr>
        <w:spacing w:before="100"/>
        <w:jc w:val="center"/>
        <w:rPr>
          <w:rFonts w:ascii="Calibri" w:hAnsi="Calibri"/>
          <w:b/>
          <w:i/>
          <w:vertAlign w:val="superscript"/>
        </w:rPr>
      </w:pPr>
      <w:r w:rsidRPr="00F339F0">
        <w:rPr>
          <w:rFonts w:ascii="Calibri" w:hAnsi="Calibri"/>
          <w:b/>
          <w:i/>
        </w:rPr>
        <w:t>Maria Orlova</w:t>
      </w:r>
    </w:p>
    <w:p w14:paraId="537FA912" w14:textId="77777777" w:rsidR="000E27FB" w:rsidRDefault="000E27FB" w:rsidP="006C1EA2">
      <w:pPr>
        <w:spacing w:before="100"/>
        <w:jc w:val="center"/>
        <w:rPr>
          <w:rFonts w:ascii="Calibri" w:hAnsi="Calibri"/>
          <w:i/>
        </w:rPr>
      </w:pPr>
      <w:r w:rsidRPr="00F339F0">
        <w:rPr>
          <w:rFonts w:ascii="Calibri" w:hAnsi="Calibri"/>
          <w:i/>
        </w:rPr>
        <w:t xml:space="preserve">Institute of Mineralogy and Petrography, University of Innsbruck, </w:t>
      </w:r>
      <w:r w:rsidRPr="006C1EA2">
        <w:rPr>
          <w:rFonts w:ascii="Calibri" w:hAnsi="Calibri"/>
          <w:i/>
        </w:rPr>
        <w:t xml:space="preserve"> </w:t>
      </w:r>
    </w:p>
    <w:p w14:paraId="63860049" w14:textId="77777777" w:rsidR="000E27FB" w:rsidRDefault="000E27FB" w:rsidP="006C1EA2">
      <w:pPr>
        <w:spacing w:before="100"/>
        <w:jc w:val="center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Innrain</w:t>
      </w:r>
      <w:proofErr w:type="spellEnd"/>
      <w:r>
        <w:rPr>
          <w:rFonts w:ascii="Calibri" w:hAnsi="Calibri"/>
          <w:i/>
        </w:rPr>
        <w:t xml:space="preserve"> 52f, Innsbruck, Austria 6020</w:t>
      </w:r>
    </w:p>
    <w:p w14:paraId="26C5EE2D" w14:textId="77777777" w:rsidR="000E27FB" w:rsidRPr="000C38C2" w:rsidRDefault="000E27FB" w:rsidP="006C1EA2">
      <w:pPr>
        <w:spacing w:before="100"/>
        <w:jc w:val="center"/>
        <w:rPr>
          <w:rFonts w:ascii="Calibri" w:hAnsi="Calibri"/>
        </w:rPr>
      </w:pPr>
    </w:p>
    <w:p w14:paraId="124EFF47" w14:textId="3882A6FB" w:rsidR="000E27FB" w:rsidRPr="002619E2" w:rsidRDefault="000E27FB" w:rsidP="00C4388C">
      <w:pPr>
        <w:jc w:val="both"/>
        <w:rPr>
          <w:rFonts w:asciiTheme="majorHAnsi" w:hAnsiTheme="majorHAnsi"/>
        </w:rPr>
      </w:pPr>
      <w:r w:rsidRPr="002619E2">
        <w:rPr>
          <w:rFonts w:asciiTheme="majorHAnsi" w:hAnsiTheme="majorHAnsi"/>
        </w:rPr>
        <w:t xml:space="preserve">At </w:t>
      </w:r>
      <w:r w:rsidR="002310CD">
        <w:rPr>
          <w:rFonts w:asciiTheme="majorHAnsi" w:hAnsiTheme="majorHAnsi"/>
        </w:rPr>
        <w:t>the upcoming</w:t>
      </w:r>
      <w:r w:rsidRPr="002619E2">
        <w:rPr>
          <w:rFonts w:asciiTheme="majorHAnsi" w:hAnsiTheme="majorHAnsi"/>
        </w:rPr>
        <w:t xml:space="preserve"> talk, recent structural investigations on</w:t>
      </w:r>
      <w:r w:rsidR="008E4123">
        <w:rPr>
          <w:rFonts w:asciiTheme="majorHAnsi" w:hAnsiTheme="majorHAnsi"/>
        </w:rPr>
        <w:t xml:space="preserve"> </w:t>
      </w:r>
      <w:r w:rsidR="008E4123" w:rsidRPr="008E4123">
        <w:rPr>
          <w:sz w:val="28"/>
          <w:szCs w:val="28"/>
          <w:lang w:val="en-GB"/>
        </w:rPr>
        <w:t>A</w:t>
      </w:r>
      <w:r w:rsidR="008E4123" w:rsidRPr="008E4123">
        <w:rPr>
          <w:sz w:val="28"/>
          <w:szCs w:val="28"/>
          <w:vertAlign w:val="superscript"/>
          <w:lang w:val="en-GB"/>
        </w:rPr>
        <w:t>2+</w:t>
      </w:r>
      <w:r w:rsidR="008E4123" w:rsidRPr="008E4123">
        <w:rPr>
          <w:sz w:val="28"/>
          <w:szCs w:val="28"/>
          <w:lang w:val="en-GB"/>
        </w:rPr>
        <w:t>B</w:t>
      </w:r>
      <w:r w:rsidR="008E4123" w:rsidRPr="008E4123">
        <w:rPr>
          <w:sz w:val="28"/>
          <w:szCs w:val="28"/>
          <w:vertAlign w:val="superscript"/>
          <w:lang w:val="en-GB"/>
        </w:rPr>
        <w:t>2+</w:t>
      </w:r>
      <w:r w:rsidR="008E4123" w:rsidRPr="008E4123">
        <w:rPr>
          <w:sz w:val="28"/>
          <w:szCs w:val="28"/>
          <w:lang w:val="en-GB"/>
        </w:rPr>
        <w:t>PO</w:t>
      </w:r>
      <w:r w:rsidR="008E4123" w:rsidRPr="008E4123">
        <w:rPr>
          <w:sz w:val="28"/>
          <w:szCs w:val="28"/>
          <w:vertAlign w:val="subscript"/>
          <w:lang w:val="en-GB"/>
        </w:rPr>
        <w:t>4</w:t>
      </w:r>
      <w:r w:rsidRPr="002619E2">
        <w:rPr>
          <w:rFonts w:asciiTheme="majorHAnsi" w:hAnsiTheme="majorHAnsi"/>
        </w:rPr>
        <w:t xml:space="preserve"> </w:t>
      </w:r>
      <w:r w:rsidR="008E4123">
        <w:rPr>
          <w:rFonts w:asciiTheme="majorHAnsi" w:hAnsiTheme="majorHAnsi"/>
        </w:rPr>
        <w:t>(A=K, Cs; B=</w:t>
      </w:r>
      <w:proofErr w:type="spellStart"/>
      <w:r w:rsidR="008E4123">
        <w:rPr>
          <w:rFonts w:asciiTheme="majorHAnsi" w:hAnsiTheme="majorHAnsi"/>
        </w:rPr>
        <w:t>Mg</w:t>
      </w:r>
      <w:proofErr w:type="gramStart"/>
      <w:r w:rsidR="008E4123">
        <w:rPr>
          <w:rFonts w:asciiTheme="majorHAnsi" w:hAnsiTheme="majorHAnsi"/>
        </w:rPr>
        <w:t>,Mn</w:t>
      </w:r>
      <w:proofErr w:type="spellEnd"/>
      <w:proofErr w:type="gramEnd"/>
      <w:r w:rsidR="008E4123">
        <w:rPr>
          <w:rFonts w:asciiTheme="majorHAnsi" w:hAnsiTheme="majorHAnsi"/>
        </w:rPr>
        <w:t>)</w:t>
      </w:r>
      <w:r w:rsidRPr="002619E2">
        <w:rPr>
          <w:rFonts w:asciiTheme="majorHAnsi" w:hAnsiTheme="majorHAnsi"/>
        </w:rPr>
        <w:t xml:space="preserve"> phosphates will be presented. </w:t>
      </w:r>
    </w:p>
    <w:p w14:paraId="7BA412D8" w14:textId="77BD1B83" w:rsidR="000E27FB" w:rsidRPr="002619E2" w:rsidRDefault="000E27FB" w:rsidP="00C4388C">
      <w:pPr>
        <w:jc w:val="both"/>
        <w:rPr>
          <w:rFonts w:asciiTheme="majorHAnsi" w:hAnsiTheme="majorHAnsi"/>
          <w:lang w:val="en-GB"/>
        </w:rPr>
      </w:pPr>
      <w:r w:rsidRPr="002619E2">
        <w:rPr>
          <w:rFonts w:asciiTheme="majorHAnsi" w:hAnsiTheme="majorHAnsi"/>
        </w:rPr>
        <w:t xml:space="preserve">Compounds with </w:t>
      </w:r>
      <w:r w:rsidR="002310CD">
        <w:rPr>
          <w:rFonts w:asciiTheme="majorHAnsi" w:hAnsiTheme="majorHAnsi"/>
        </w:rPr>
        <w:t xml:space="preserve">the </w:t>
      </w:r>
      <w:r w:rsidRPr="002619E2">
        <w:rPr>
          <w:rFonts w:asciiTheme="majorHAnsi" w:hAnsiTheme="majorHAnsi"/>
        </w:rPr>
        <w:t xml:space="preserve">general formula </w:t>
      </w:r>
      <w:r w:rsidRPr="002619E2">
        <w:rPr>
          <w:rFonts w:asciiTheme="majorHAnsi" w:hAnsiTheme="majorHAnsi"/>
          <w:sz w:val="28"/>
          <w:szCs w:val="28"/>
          <w:lang w:val="en-GB"/>
        </w:rPr>
        <w:t>A</w:t>
      </w:r>
      <w:r w:rsidRPr="002619E2">
        <w:rPr>
          <w:rFonts w:asciiTheme="majorHAnsi" w:hAnsiTheme="majorHAnsi"/>
          <w:sz w:val="28"/>
          <w:szCs w:val="28"/>
          <w:vertAlign w:val="superscript"/>
          <w:lang w:val="en-GB"/>
        </w:rPr>
        <w:t>2+</w:t>
      </w:r>
      <w:r w:rsidRPr="002619E2">
        <w:rPr>
          <w:rFonts w:asciiTheme="majorHAnsi" w:hAnsiTheme="majorHAnsi"/>
          <w:sz w:val="28"/>
          <w:szCs w:val="28"/>
          <w:lang w:val="en-GB"/>
        </w:rPr>
        <w:t>B</w:t>
      </w:r>
      <w:r w:rsidRPr="002619E2">
        <w:rPr>
          <w:rFonts w:asciiTheme="majorHAnsi" w:hAnsiTheme="majorHAnsi"/>
          <w:sz w:val="28"/>
          <w:szCs w:val="28"/>
          <w:vertAlign w:val="superscript"/>
          <w:lang w:val="en-GB"/>
        </w:rPr>
        <w:t>2+</w:t>
      </w:r>
      <w:r w:rsidRPr="002619E2">
        <w:rPr>
          <w:rFonts w:asciiTheme="majorHAnsi" w:hAnsiTheme="majorHAnsi"/>
          <w:sz w:val="28"/>
          <w:szCs w:val="28"/>
          <w:lang w:val="en-GB"/>
        </w:rPr>
        <w:t>PO</w:t>
      </w:r>
      <w:r w:rsidRPr="002619E2">
        <w:rPr>
          <w:rFonts w:asciiTheme="majorHAnsi" w:hAnsiTheme="majorHAnsi"/>
          <w:sz w:val="28"/>
          <w:szCs w:val="28"/>
          <w:vertAlign w:val="subscript"/>
          <w:lang w:val="en-GB"/>
        </w:rPr>
        <w:t xml:space="preserve">4 </w:t>
      </w:r>
      <w:r w:rsidR="0029350E">
        <w:rPr>
          <w:rFonts w:asciiTheme="majorHAnsi" w:hAnsiTheme="majorHAnsi"/>
          <w:lang w:val="en-GB"/>
        </w:rPr>
        <w:t xml:space="preserve">(A = </w:t>
      </w:r>
      <w:r w:rsidRPr="002619E2">
        <w:rPr>
          <w:rFonts w:asciiTheme="majorHAnsi" w:hAnsiTheme="majorHAnsi"/>
          <w:lang w:val="en-GB"/>
        </w:rPr>
        <w:t>K,</w:t>
      </w:r>
      <w:r w:rsidR="0029350E">
        <w:rPr>
          <w:rFonts w:asciiTheme="majorHAnsi" w:hAnsiTheme="majorHAnsi"/>
          <w:lang w:val="en-GB"/>
        </w:rPr>
        <w:t xml:space="preserve"> </w:t>
      </w:r>
      <w:proofErr w:type="spellStart"/>
      <w:r w:rsidRPr="002619E2">
        <w:rPr>
          <w:rFonts w:asciiTheme="majorHAnsi" w:hAnsiTheme="majorHAnsi"/>
          <w:lang w:val="en-GB"/>
        </w:rPr>
        <w:t>Rb</w:t>
      </w:r>
      <w:proofErr w:type="spellEnd"/>
      <w:r w:rsidRPr="002619E2">
        <w:rPr>
          <w:rFonts w:asciiTheme="majorHAnsi" w:hAnsiTheme="majorHAnsi"/>
          <w:lang w:val="en-GB"/>
        </w:rPr>
        <w:t>;</w:t>
      </w:r>
      <w:r w:rsidR="0029350E">
        <w:rPr>
          <w:rFonts w:asciiTheme="majorHAnsi" w:hAnsiTheme="majorHAnsi"/>
          <w:lang w:val="en-GB"/>
        </w:rPr>
        <w:t xml:space="preserve"> </w:t>
      </w:r>
      <w:r w:rsidRPr="002619E2">
        <w:rPr>
          <w:rFonts w:asciiTheme="majorHAnsi" w:hAnsiTheme="majorHAnsi"/>
          <w:lang w:val="en-GB"/>
        </w:rPr>
        <w:t>Cs</w:t>
      </w:r>
      <w:proofErr w:type="gramStart"/>
      <w:r w:rsidR="002619E2">
        <w:rPr>
          <w:rFonts w:asciiTheme="majorHAnsi" w:hAnsiTheme="majorHAnsi"/>
          <w:lang w:val="en-GB"/>
        </w:rPr>
        <w:t>,Tl,</w:t>
      </w:r>
      <w:r w:rsidRPr="002619E2">
        <w:rPr>
          <w:rFonts w:asciiTheme="majorHAnsi" w:hAnsiTheme="majorHAnsi"/>
          <w:lang w:val="en-GB"/>
        </w:rPr>
        <w:t>NH</w:t>
      </w:r>
      <w:r w:rsidRPr="002619E2">
        <w:rPr>
          <w:rFonts w:asciiTheme="majorHAnsi" w:hAnsiTheme="majorHAnsi"/>
          <w:vertAlign w:val="subscript"/>
          <w:lang w:val="en-GB"/>
        </w:rPr>
        <w:t>4</w:t>
      </w:r>
      <w:proofErr w:type="gramEnd"/>
      <w:r w:rsidRPr="002619E2">
        <w:rPr>
          <w:rFonts w:asciiTheme="majorHAnsi" w:hAnsiTheme="majorHAnsi"/>
          <w:lang w:val="en-GB"/>
        </w:rPr>
        <w:t>; B and X are tetrahedrally coordinated cati</w:t>
      </w:r>
      <w:r w:rsidR="002619E2">
        <w:rPr>
          <w:rFonts w:asciiTheme="majorHAnsi" w:hAnsiTheme="majorHAnsi"/>
          <w:lang w:val="en-GB"/>
        </w:rPr>
        <w:t>ons) belong to the</w:t>
      </w:r>
      <w:r w:rsidR="00C4388C" w:rsidRPr="002619E2">
        <w:rPr>
          <w:rFonts w:asciiTheme="majorHAnsi" w:hAnsiTheme="majorHAnsi"/>
          <w:lang w:val="en-GB"/>
        </w:rPr>
        <w:t xml:space="preserve"> tridy</w:t>
      </w:r>
      <w:r w:rsidRPr="002619E2">
        <w:rPr>
          <w:rFonts w:asciiTheme="majorHAnsi" w:hAnsiTheme="majorHAnsi"/>
          <w:lang w:val="en-GB"/>
        </w:rPr>
        <w:t>mite structural family.</w:t>
      </w:r>
      <w:r w:rsidR="00C4388C" w:rsidRPr="002619E2">
        <w:rPr>
          <w:rFonts w:asciiTheme="majorHAnsi" w:hAnsiTheme="majorHAnsi"/>
          <w:lang w:val="en-GB"/>
        </w:rPr>
        <w:t xml:space="preserve"> </w:t>
      </w:r>
      <w:r w:rsidRPr="002619E2">
        <w:rPr>
          <w:rFonts w:asciiTheme="majorHAnsi" w:hAnsiTheme="majorHAnsi"/>
          <w:lang w:val="en-GB"/>
        </w:rPr>
        <w:t xml:space="preserve">Their oxygen framework is made up of corner-shared tetrahedra forming six-membered rings that host </w:t>
      </w:r>
      <w:r w:rsidR="002310CD">
        <w:rPr>
          <w:rFonts w:asciiTheme="majorHAnsi" w:hAnsiTheme="majorHAnsi"/>
          <w:lang w:val="en-GB"/>
        </w:rPr>
        <w:t xml:space="preserve">a </w:t>
      </w:r>
      <w:r w:rsidRPr="002619E2">
        <w:rPr>
          <w:rFonts w:asciiTheme="majorHAnsi" w:hAnsiTheme="majorHAnsi"/>
          <w:lang w:val="en-GB"/>
        </w:rPr>
        <w:t>large cation A</w:t>
      </w:r>
      <w:r w:rsidR="0029350E">
        <w:rPr>
          <w:rFonts w:asciiTheme="majorHAnsi" w:hAnsiTheme="majorHAnsi"/>
          <w:lang w:val="en-GB"/>
        </w:rPr>
        <w:t xml:space="preserve"> </w:t>
      </w:r>
      <w:r w:rsidR="0029350E" w:rsidRPr="006C1EA2">
        <w:rPr>
          <w:rFonts w:ascii="Calibri" w:hAnsi="Calibri"/>
        </w:rPr>
        <w:t>[1]</w:t>
      </w:r>
      <w:r w:rsidRPr="002619E2">
        <w:rPr>
          <w:rFonts w:asciiTheme="majorHAnsi" w:hAnsiTheme="majorHAnsi"/>
          <w:lang w:val="en-GB"/>
        </w:rPr>
        <w:t>. These rings consist of BO</w:t>
      </w:r>
      <w:r w:rsidRPr="008E4123">
        <w:rPr>
          <w:rFonts w:asciiTheme="majorHAnsi" w:hAnsiTheme="majorHAnsi"/>
          <w:vertAlign w:val="subscript"/>
          <w:lang w:val="en-GB"/>
        </w:rPr>
        <w:t>4</w:t>
      </w:r>
      <w:r w:rsidRPr="002619E2">
        <w:rPr>
          <w:rFonts w:asciiTheme="majorHAnsi" w:hAnsiTheme="majorHAnsi"/>
          <w:lang w:val="en-GB"/>
        </w:rPr>
        <w:t xml:space="preserve"> and PO</w:t>
      </w:r>
      <w:r w:rsidRPr="008E4123">
        <w:rPr>
          <w:rFonts w:asciiTheme="majorHAnsi" w:hAnsiTheme="majorHAnsi"/>
          <w:vertAlign w:val="subscript"/>
          <w:lang w:val="en-GB"/>
        </w:rPr>
        <w:t>4</w:t>
      </w:r>
      <w:r w:rsidRPr="002619E2">
        <w:rPr>
          <w:rFonts w:asciiTheme="majorHAnsi" w:hAnsiTheme="majorHAnsi"/>
          <w:lang w:val="en-GB"/>
        </w:rPr>
        <w:t xml:space="preserve"> tetrahedra and may take different orienta</w:t>
      </w:r>
      <w:r w:rsidR="002310CD">
        <w:rPr>
          <w:rFonts w:asciiTheme="majorHAnsi" w:hAnsiTheme="majorHAnsi"/>
          <w:lang w:val="en-GB"/>
        </w:rPr>
        <w:t>tion. Despite</w:t>
      </w:r>
      <w:r w:rsidR="00C4388C" w:rsidRPr="002619E2">
        <w:rPr>
          <w:rFonts w:asciiTheme="majorHAnsi" w:hAnsiTheme="majorHAnsi"/>
          <w:lang w:val="en-GB"/>
        </w:rPr>
        <w:t xml:space="preserve"> the fact that </w:t>
      </w:r>
      <w:r w:rsidRPr="002619E2">
        <w:rPr>
          <w:rFonts w:asciiTheme="majorHAnsi" w:hAnsiTheme="majorHAnsi"/>
          <w:lang w:val="en-GB"/>
        </w:rPr>
        <w:t>PO</w:t>
      </w:r>
      <w:r w:rsidRPr="002619E2">
        <w:rPr>
          <w:rFonts w:asciiTheme="majorHAnsi" w:hAnsiTheme="majorHAnsi"/>
          <w:vertAlign w:val="subscript"/>
          <w:lang w:val="en-GB"/>
        </w:rPr>
        <w:t>4</w:t>
      </w:r>
      <w:r w:rsidR="002310CD">
        <w:rPr>
          <w:rFonts w:asciiTheme="majorHAnsi" w:hAnsiTheme="majorHAnsi"/>
          <w:lang w:val="en-GB"/>
        </w:rPr>
        <w:t xml:space="preserve"> groups form</w:t>
      </w:r>
      <w:r w:rsidRPr="002619E2">
        <w:rPr>
          <w:rFonts w:asciiTheme="majorHAnsi" w:hAnsiTheme="majorHAnsi"/>
          <w:lang w:val="en-GB"/>
        </w:rPr>
        <w:t xml:space="preserve"> rather</w:t>
      </w:r>
      <w:r w:rsidR="002310CD">
        <w:rPr>
          <w:rFonts w:asciiTheme="majorHAnsi" w:hAnsiTheme="majorHAnsi"/>
          <w:lang w:val="en-GB"/>
        </w:rPr>
        <w:t xml:space="preserve"> rigid tetrahedra</w:t>
      </w:r>
      <w:r w:rsidRPr="002619E2">
        <w:rPr>
          <w:rFonts w:asciiTheme="majorHAnsi" w:hAnsiTheme="majorHAnsi"/>
          <w:lang w:val="en-GB"/>
        </w:rPr>
        <w:t>, the network is quite flexible because of rotation of PO</w:t>
      </w:r>
      <w:r w:rsidRPr="002619E2">
        <w:rPr>
          <w:rFonts w:asciiTheme="majorHAnsi" w:hAnsiTheme="majorHAnsi"/>
          <w:vertAlign w:val="subscript"/>
          <w:lang w:val="en-GB"/>
        </w:rPr>
        <w:t>4</w:t>
      </w:r>
      <w:r w:rsidRPr="002619E2">
        <w:rPr>
          <w:rFonts w:asciiTheme="majorHAnsi" w:hAnsiTheme="majorHAnsi"/>
          <w:lang w:val="en-GB"/>
        </w:rPr>
        <w:t xml:space="preserve"> and MO</w:t>
      </w:r>
      <w:r w:rsidRPr="002619E2">
        <w:rPr>
          <w:rFonts w:asciiTheme="majorHAnsi" w:hAnsiTheme="majorHAnsi"/>
          <w:vertAlign w:val="subscript"/>
          <w:lang w:val="en-GB"/>
        </w:rPr>
        <w:t>4</w:t>
      </w:r>
      <w:r w:rsidRPr="002619E2">
        <w:rPr>
          <w:rFonts w:asciiTheme="majorHAnsi" w:hAnsiTheme="majorHAnsi"/>
          <w:lang w:val="en-GB"/>
        </w:rPr>
        <w:t xml:space="preserve"> polyhedra. As a consequence</w:t>
      </w:r>
      <w:r w:rsidR="002310CD">
        <w:rPr>
          <w:rFonts w:asciiTheme="majorHAnsi" w:hAnsiTheme="majorHAnsi"/>
          <w:lang w:val="en-GB"/>
        </w:rPr>
        <w:t>,</w:t>
      </w:r>
      <w:r w:rsidRPr="002619E2">
        <w:rPr>
          <w:rFonts w:asciiTheme="majorHAnsi" w:hAnsiTheme="majorHAnsi"/>
          <w:lang w:val="en-GB"/>
        </w:rPr>
        <w:t xml:space="preserve"> these types of structure undergo a series of phase transitions as the temperature is changed</w:t>
      </w:r>
      <w:r w:rsidR="00800889">
        <w:rPr>
          <w:rFonts w:asciiTheme="majorHAnsi" w:hAnsiTheme="majorHAnsi"/>
          <w:lang w:val="en-GB"/>
        </w:rPr>
        <w:t xml:space="preserve"> </w:t>
      </w:r>
      <w:r w:rsidR="00800889" w:rsidRPr="006C1EA2">
        <w:rPr>
          <w:rFonts w:ascii="Calibri" w:hAnsi="Calibri"/>
        </w:rPr>
        <w:t>[2</w:t>
      </w:r>
      <w:r w:rsidR="00980E10">
        <w:rPr>
          <w:rFonts w:ascii="Calibri" w:hAnsi="Calibri"/>
        </w:rPr>
        <w:t>-6</w:t>
      </w:r>
      <w:r w:rsidR="00800889" w:rsidRPr="006C1EA2">
        <w:rPr>
          <w:rFonts w:ascii="Calibri" w:hAnsi="Calibri"/>
        </w:rPr>
        <w:t>]</w:t>
      </w:r>
      <w:r w:rsidRPr="002619E2">
        <w:rPr>
          <w:rFonts w:asciiTheme="majorHAnsi" w:hAnsiTheme="majorHAnsi"/>
          <w:lang w:val="en-GB"/>
        </w:rPr>
        <w:t xml:space="preserve">. </w:t>
      </w:r>
    </w:p>
    <w:p w14:paraId="6073D051" w14:textId="7F18FDF5" w:rsidR="000E27FB" w:rsidRPr="002619E2" w:rsidRDefault="002310CD" w:rsidP="00C4388C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An interesting feature of this</w:t>
      </w:r>
      <w:r w:rsidR="000E27FB" w:rsidRPr="002619E2">
        <w:rPr>
          <w:rFonts w:asciiTheme="majorHAnsi" w:hAnsiTheme="majorHAnsi"/>
          <w:lang w:val="en-GB"/>
        </w:rPr>
        <w:t xml:space="preserve"> type of compounds is that many of them have the same orthorhombic prototype phase at high temperature</w:t>
      </w:r>
      <w:r w:rsidR="00AB6838">
        <w:rPr>
          <w:rFonts w:asciiTheme="majorHAnsi" w:hAnsiTheme="majorHAnsi"/>
          <w:lang w:val="en-GB"/>
        </w:rPr>
        <w:t>s</w:t>
      </w:r>
      <w:r w:rsidR="000E27FB" w:rsidRPr="002619E2">
        <w:rPr>
          <w:rFonts w:asciiTheme="majorHAnsi" w:hAnsiTheme="majorHAnsi"/>
          <w:lang w:val="en-GB"/>
        </w:rPr>
        <w:t xml:space="preserve">. It belongs to the centrosymmetric </w:t>
      </w:r>
      <w:proofErr w:type="spellStart"/>
      <w:r w:rsidR="000E27FB" w:rsidRPr="00C52793">
        <w:rPr>
          <w:rFonts w:asciiTheme="majorHAnsi" w:hAnsiTheme="majorHAnsi"/>
          <w:i/>
          <w:lang w:val="en-GB"/>
        </w:rPr>
        <w:t>P</w:t>
      </w:r>
      <w:r w:rsidR="000E27FB" w:rsidRPr="002619E2">
        <w:rPr>
          <w:rFonts w:asciiTheme="majorHAnsi" w:hAnsiTheme="majorHAnsi"/>
          <w:i/>
          <w:lang w:val="en-GB"/>
        </w:rPr>
        <w:t>nma</w:t>
      </w:r>
      <w:proofErr w:type="spellEnd"/>
      <w:r w:rsidR="000E27FB" w:rsidRPr="002619E2">
        <w:rPr>
          <w:rFonts w:asciiTheme="majorHAnsi" w:hAnsiTheme="majorHAnsi"/>
          <w:lang w:val="en-GB"/>
        </w:rPr>
        <w:t xml:space="preserve"> space group. </w:t>
      </w:r>
    </w:p>
    <w:p w14:paraId="560BAA56" w14:textId="3F04D677" w:rsidR="000E27FB" w:rsidRPr="002619E2" w:rsidRDefault="00AB6838" w:rsidP="00C4388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Despite </w:t>
      </w:r>
      <w:r w:rsidR="000E27FB" w:rsidRPr="002619E2">
        <w:rPr>
          <w:rFonts w:asciiTheme="majorHAnsi" w:hAnsiTheme="majorHAnsi"/>
        </w:rPr>
        <w:t>the fact that many</w:t>
      </w:r>
      <w:r>
        <w:rPr>
          <w:rFonts w:asciiTheme="majorHAnsi" w:hAnsiTheme="majorHAnsi"/>
        </w:rPr>
        <w:t xml:space="preserve"> of the</w:t>
      </w:r>
      <w:r w:rsidR="000E27FB" w:rsidRPr="002619E2">
        <w:rPr>
          <w:rFonts w:asciiTheme="majorHAnsi" w:hAnsiTheme="majorHAnsi"/>
        </w:rPr>
        <w:t xml:space="preserve"> structures</w:t>
      </w:r>
      <w:r>
        <w:rPr>
          <w:rFonts w:asciiTheme="majorHAnsi" w:hAnsiTheme="majorHAnsi"/>
        </w:rPr>
        <w:t xml:space="preserve"> of these </w:t>
      </w:r>
      <w:r w:rsidR="00C74BE1">
        <w:rPr>
          <w:rFonts w:asciiTheme="majorHAnsi" w:hAnsiTheme="majorHAnsi"/>
        </w:rPr>
        <w:t xml:space="preserve">compounds </w:t>
      </w:r>
      <w:r w:rsidR="00C74BE1" w:rsidRPr="002619E2">
        <w:rPr>
          <w:rFonts w:asciiTheme="majorHAnsi" w:hAnsiTheme="majorHAnsi"/>
        </w:rPr>
        <w:t>have</w:t>
      </w:r>
      <w:r w:rsidR="000E27FB" w:rsidRPr="002619E2">
        <w:rPr>
          <w:rFonts w:asciiTheme="majorHAnsi" w:hAnsiTheme="majorHAnsi"/>
        </w:rPr>
        <w:t xml:space="preserve"> been already studied, there are still many open questions</w:t>
      </w:r>
      <w:r w:rsidR="008E4123">
        <w:rPr>
          <w:rFonts w:asciiTheme="majorHAnsi" w:hAnsiTheme="majorHAnsi"/>
        </w:rPr>
        <w:t xml:space="preserve"> about structural </w:t>
      </w:r>
      <w:proofErr w:type="gramStart"/>
      <w:r w:rsidR="008E4123">
        <w:rPr>
          <w:rFonts w:asciiTheme="majorHAnsi" w:hAnsiTheme="majorHAnsi"/>
        </w:rPr>
        <w:t>transformations</w:t>
      </w:r>
      <w:r w:rsidR="00782E07">
        <w:rPr>
          <w:rFonts w:asciiTheme="majorHAnsi" w:hAnsiTheme="majorHAnsi"/>
        </w:rPr>
        <w:t xml:space="preserve"> </w:t>
      </w:r>
      <w:r w:rsidR="00C74BE1">
        <w:rPr>
          <w:rFonts w:asciiTheme="majorHAnsi" w:hAnsiTheme="majorHAnsi"/>
        </w:rPr>
        <w:t>which</w:t>
      </w:r>
      <w:proofErr w:type="gramEnd"/>
      <w:r w:rsidR="00C74BE1">
        <w:rPr>
          <w:rFonts w:asciiTheme="majorHAnsi" w:hAnsiTheme="majorHAnsi"/>
        </w:rPr>
        <w:t xml:space="preserve"> motivate the present study.</w:t>
      </w:r>
    </w:p>
    <w:p w14:paraId="18928933" w14:textId="77777777" w:rsidR="000E27FB" w:rsidRPr="000C38C2" w:rsidRDefault="000E27FB" w:rsidP="00617DCB">
      <w:pPr>
        <w:rPr>
          <w:rFonts w:ascii="Calibri" w:hAnsi="Calibri"/>
        </w:rPr>
      </w:pPr>
    </w:p>
    <w:p w14:paraId="48A628D7" w14:textId="77777777" w:rsidR="000E27FB" w:rsidRPr="00617DCB" w:rsidRDefault="000E27FB" w:rsidP="006C1EA2">
      <w:pPr>
        <w:jc w:val="both"/>
        <w:rPr>
          <w:rFonts w:ascii="Calibri" w:hAnsi="Calibr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93"/>
        <w:gridCol w:w="6621"/>
      </w:tblGrid>
      <w:tr w:rsidR="000E27FB" w:rsidRPr="00DB665E" w14:paraId="0FF045C0" w14:textId="77777777" w:rsidTr="00DB665E">
        <w:tc>
          <w:tcPr>
            <w:tcW w:w="2093" w:type="dxa"/>
            <w:vAlign w:val="center"/>
          </w:tcPr>
          <w:p w14:paraId="2979AC9A" w14:textId="77777777" w:rsidR="000E27FB" w:rsidRPr="00DB665E" w:rsidRDefault="00CA73AE" w:rsidP="000C38C2">
            <w:pPr>
              <w:rPr>
                <w:rFonts w:ascii="Calibri" w:hAnsi="Calibri"/>
              </w:rPr>
            </w:pPr>
            <w:r>
              <w:rPr>
                <w:noProof/>
                <w:lang w:val="it-IT" w:eastAsia="it-IT"/>
              </w:rPr>
              <w:pict w14:anchorId="02F659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6" type="#_x0000_t75" style="position:absolute;margin-left:9pt;margin-top:6.5pt;width:74.3pt;height:98.2pt;z-index:251659264;visibility:visible;mso-wrap-style:square;mso-wrap-distance-left:9pt;mso-wrap-distance-top:0;mso-wrap-distance-right:9pt;mso-wrap-distance-bottom:0;mso-position-horizontal-relative:margin;mso-position-vertical-relative:margin" stroked="t" strokecolor="#4f81bd">
                  <v:imagedata r:id="rId8" o:title=""/>
                  <w10:wrap type="square" anchorx="margin" anchory="margin"/>
                </v:shape>
              </w:pict>
            </w:r>
          </w:p>
          <w:p w14:paraId="3BDF6A62" w14:textId="77777777" w:rsidR="000E27FB" w:rsidRPr="00DB665E" w:rsidRDefault="000E27FB" w:rsidP="006C1EA2">
            <w:pPr>
              <w:rPr>
                <w:rFonts w:ascii="Calibri" w:hAnsi="Calibri"/>
              </w:rPr>
            </w:pPr>
            <w:r w:rsidRPr="00DB665E">
              <w:rPr>
                <w:rFonts w:ascii="Calibri" w:hAnsi="Calibri"/>
              </w:rPr>
              <w:t xml:space="preserve"> </w:t>
            </w:r>
          </w:p>
        </w:tc>
        <w:tc>
          <w:tcPr>
            <w:tcW w:w="6621" w:type="dxa"/>
            <w:vAlign w:val="bottom"/>
          </w:tcPr>
          <w:p w14:paraId="050114A9" w14:textId="77777777" w:rsidR="000E27FB" w:rsidRPr="00DB665E" w:rsidRDefault="000E27FB" w:rsidP="006C1EA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665E">
              <w:rPr>
                <w:rFonts w:ascii="Calibri" w:hAnsi="Calibri"/>
                <w:b/>
                <w:sz w:val="20"/>
                <w:szCs w:val="20"/>
              </w:rPr>
              <w:t xml:space="preserve">CV: </w:t>
            </w:r>
            <w:r w:rsidR="00C4388C">
              <w:rPr>
                <w:rFonts w:ascii="Calibri" w:hAnsi="Calibri"/>
                <w:b/>
                <w:sz w:val="20"/>
                <w:szCs w:val="20"/>
              </w:rPr>
              <w:t xml:space="preserve">Dr. </w:t>
            </w:r>
            <w:r>
              <w:rPr>
                <w:rFonts w:ascii="Calibri" w:hAnsi="Calibri"/>
                <w:b/>
                <w:sz w:val="20"/>
                <w:szCs w:val="20"/>
              </w:rPr>
              <w:t>Maria Orlova</w:t>
            </w:r>
          </w:p>
          <w:p w14:paraId="15824FD2" w14:textId="0E0AB49B" w:rsidR="000E27FB" w:rsidRDefault="000E27FB" w:rsidP="00DB665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B665E">
              <w:rPr>
                <w:rFonts w:ascii="Calibri" w:hAnsi="Calibri"/>
                <w:sz w:val="20"/>
                <w:szCs w:val="20"/>
              </w:rPr>
              <w:t xml:space="preserve">Born 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June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 19</w:t>
            </w:r>
            <w:r>
              <w:rPr>
                <w:rFonts w:ascii="Calibri" w:hAnsi="Calibri"/>
                <w:sz w:val="20"/>
                <w:szCs w:val="20"/>
              </w:rPr>
              <w:t>81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 in </w:t>
            </w:r>
            <w:r>
              <w:rPr>
                <w:rFonts w:ascii="Calibri" w:hAnsi="Calibri"/>
                <w:sz w:val="20"/>
                <w:szCs w:val="20"/>
              </w:rPr>
              <w:t>Nizhny Novgorod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Russia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Maria Orlova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 graduated in Chemistry at the University of </w:t>
            </w:r>
            <w:r>
              <w:rPr>
                <w:rFonts w:ascii="Calibri" w:hAnsi="Calibri"/>
                <w:sz w:val="20"/>
                <w:szCs w:val="20"/>
              </w:rPr>
              <w:t>Nizhny Novgorod (2003</w:t>
            </w:r>
            <w:r w:rsidRPr="00DB665E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. From 2003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 to </w:t>
            </w:r>
            <w:r>
              <w:rPr>
                <w:rFonts w:ascii="Calibri" w:hAnsi="Calibri"/>
                <w:sz w:val="20"/>
                <w:szCs w:val="20"/>
              </w:rPr>
              <w:t>2007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 she carried out her PhD work </w:t>
            </w:r>
            <w:r w:rsidR="00C74BE1">
              <w:rPr>
                <w:rFonts w:ascii="Calibri" w:hAnsi="Calibri"/>
                <w:sz w:val="20"/>
                <w:szCs w:val="20"/>
              </w:rPr>
              <w:t>at the same institution</w:t>
            </w:r>
            <w:r>
              <w:rPr>
                <w:rFonts w:ascii="Calibri" w:hAnsi="Calibri"/>
                <w:sz w:val="20"/>
                <w:szCs w:val="20"/>
              </w:rPr>
              <w:t xml:space="preserve"> in the field of Solid State Chemistry</w:t>
            </w:r>
            <w:r w:rsidRPr="00DB665E">
              <w:rPr>
                <w:rFonts w:ascii="Calibri" w:hAnsi="Calibri"/>
                <w:sz w:val="20"/>
                <w:szCs w:val="20"/>
              </w:rPr>
              <w:t>.</w:t>
            </w:r>
            <w:r w:rsidR="00C74BE1">
              <w:rPr>
                <w:rFonts w:ascii="Calibri" w:hAnsi="Calibri"/>
                <w:sz w:val="20"/>
                <w:szCs w:val="20"/>
              </w:rPr>
              <w:t xml:space="preserve"> In 2007-2008 she worked on</w:t>
            </w:r>
            <w:r>
              <w:rPr>
                <w:rFonts w:ascii="Calibri" w:hAnsi="Calibri"/>
                <w:sz w:val="20"/>
                <w:szCs w:val="20"/>
              </w:rPr>
              <w:t xml:space="preserve"> hydrogen storage materials at the University of Geneva. S</w:t>
            </w:r>
            <w:r w:rsidR="00C74BE1">
              <w:rPr>
                <w:rFonts w:ascii="Calibri" w:hAnsi="Calibri"/>
                <w:sz w:val="20"/>
                <w:szCs w:val="20"/>
              </w:rPr>
              <w:t>he continued this topic</w:t>
            </w:r>
            <w:r>
              <w:rPr>
                <w:rFonts w:ascii="Calibri" w:hAnsi="Calibri"/>
                <w:sz w:val="20"/>
                <w:szCs w:val="20"/>
              </w:rPr>
              <w:t xml:space="preserve"> at ESRF, France (2009-2011). Currently she is working at the University of Innsbruck, conducting her research in the field of phase transitions of functional phosphate materials</w:t>
            </w:r>
            <w:r w:rsidR="00C74BE1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as well as </w:t>
            </w:r>
            <w:r w:rsidR="00C52793">
              <w:rPr>
                <w:rFonts w:ascii="Calibri" w:hAnsi="Calibri"/>
                <w:sz w:val="20"/>
                <w:szCs w:val="20"/>
              </w:rPr>
              <w:t>perfor</w:t>
            </w:r>
            <w:r w:rsidR="00C74BE1">
              <w:rPr>
                <w:rFonts w:ascii="Calibri" w:hAnsi="Calibri"/>
                <w:sz w:val="20"/>
                <w:szCs w:val="20"/>
              </w:rPr>
              <w:t>ming diffraction studies for a</w:t>
            </w:r>
            <w:r w:rsidR="00C52793">
              <w:rPr>
                <w:rFonts w:ascii="Calibri" w:hAnsi="Calibri"/>
                <w:sz w:val="20"/>
                <w:szCs w:val="20"/>
              </w:rPr>
              <w:t xml:space="preserve"> project of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74BE1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 xml:space="preserve">pharmaceutical company “Sandoz”. </w:t>
            </w:r>
            <w:r w:rsidRPr="00DB665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33CD626" w14:textId="77777777" w:rsidR="000E27FB" w:rsidRPr="00DB665E" w:rsidRDefault="000E27FB" w:rsidP="00DB665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B09757" w14:textId="77777777" w:rsidR="000E27FB" w:rsidRDefault="000E27FB" w:rsidP="00617DCB">
      <w:pPr>
        <w:jc w:val="both"/>
        <w:rPr>
          <w:rFonts w:ascii="Calibri" w:hAnsi="Calibri"/>
        </w:rPr>
      </w:pPr>
    </w:p>
    <w:p w14:paraId="04AAAE1D" w14:textId="77777777" w:rsidR="000E27FB" w:rsidRDefault="000E27FB" w:rsidP="006C1EA2">
      <w:pPr>
        <w:jc w:val="both"/>
        <w:rPr>
          <w:rFonts w:ascii="Times New Roman" w:hAnsi="Times New Roman"/>
        </w:rPr>
      </w:pPr>
      <w:bookmarkStart w:id="1" w:name="_ENREF_4"/>
    </w:p>
    <w:p w14:paraId="22E64948" w14:textId="77777777" w:rsidR="000E27FB" w:rsidRPr="006C1EA2" w:rsidRDefault="000E27FB" w:rsidP="006C1EA2">
      <w:pPr>
        <w:jc w:val="both"/>
        <w:rPr>
          <w:rFonts w:ascii="Calibri" w:hAnsi="Calibri"/>
          <w:b/>
        </w:rPr>
      </w:pPr>
      <w:r w:rsidRPr="006C1EA2">
        <w:rPr>
          <w:rFonts w:ascii="Calibri" w:hAnsi="Calibri"/>
          <w:b/>
        </w:rPr>
        <w:t>References:</w:t>
      </w:r>
    </w:p>
    <w:p w14:paraId="77961237" w14:textId="63D05CA9" w:rsidR="000E27FB" w:rsidRDefault="000E27FB" w:rsidP="006C1EA2">
      <w:pPr>
        <w:jc w:val="both"/>
        <w:rPr>
          <w:rFonts w:asciiTheme="minorHAnsi" w:hAnsiTheme="minorHAnsi"/>
        </w:rPr>
      </w:pPr>
      <w:r w:rsidRPr="00461B6D">
        <w:rPr>
          <w:rFonts w:asciiTheme="minorHAnsi" w:hAnsiTheme="minorHAnsi"/>
        </w:rPr>
        <w:t>[1</w:t>
      </w:r>
      <w:bookmarkEnd w:id="1"/>
      <w:r w:rsidRPr="00461B6D">
        <w:rPr>
          <w:rFonts w:asciiTheme="minorHAnsi" w:hAnsiTheme="minorHAnsi"/>
        </w:rPr>
        <w:t>]</w:t>
      </w:r>
      <w:r w:rsidR="0029350E" w:rsidRPr="00461B6D">
        <w:rPr>
          <w:rFonts w:asciiTheme="minorHAnsi" w:hAnsiTheme="minorHAnsi"/>
        </w:rPr>
        <w:t xml:space="preserve"> R.E.</w:t>
      </w:r>
      <w:r w:rsidR="00800889" w:rsidRPr="00461B6D">
        <w:rPr>
          <w:rFonts w:asciiTheme="minorHAnsi" w:hAnsiTheme="minorHAnsi"/>
        </w:rPr>
        <w:t xml:space="preserve"> </w:t>
      </w:r>
      <w:r w:rsidR="0029350E" w:rsidRPr="00461B6D">
        <w:rPr>
          <w:rFonts w:asciiTheme="minorHAnsi" w:hAnsiTheme="minorHAnsi"/>
        </w:rPr>
        <w:t>Gibbs, Proc. Roy. Soc. London</w:t>
      </w:r>
      <w:r w:rsidR="00800889" w:rsidRPr="00461B6D">
        <w:rPr>
          <w:rFonts w:asciiTheme="minorHAnsi" w:hAnsiTheme="minorHAnsi"/>
        </w:rPr>
        <w:t>.</w:t>
      </w:r>
      <w:r w:rsidR="00132D07" w:rsidRPr="00461B6D">
        <w:rPr>
          <w:rFonts w:asciiTheme="minorHAnsi" w:hAnsiTheme="minorHAnsi"/>
        </w:rPr>
        <w:t xml:space="preserve"> 63a</w:t>
      </w:r>
      <w:r w:rsidR="0029350E" w:rsidRPr="00461B6D">
        <w:rPr>
          <w:rFonts w:asciiTheme="minorHAnsi" w:hAnsiTheme="minorHAnsi"/>
        </w:rPr>
        <w:t xml:space="preserve"> (1926)</w:t>
      </w:r>
      <w:r w:rsidR="00800889" w:rsidRPr="00461B6D">
        <w:rPr>
          <w:rFonts w:asciiTheme="minorHAnsi" w:hAnsiTheme="minorHAnsi"/>
        </w:rPr>
        <w:t xml:space="preserve"> 351</w:t>
      </w:r>
    </w:p>
    <w:p w14:paraId="7E58F840" w14:textId="77777777" w:rsidR="00461B6D" w:rsidRPr="00461B6D" w:rsidRDefault="00461B6D" w:rsidP="006C1EA2">
      <w:pPr>
        <w:jc w:val="both"/>
        <w:rPr>
          <w:rFonts w:asciiTheme="minorHAnsi" w:hAnsiTheme="minorHAnsi"/>
        </w:rPr>
      </w:pPr>
    </w:p>
    <w:p w14:paraId="0033F22D" w14:textId="09192FD9" w:rsidR="00F76E22" w:rsidRPr="00461B6D" w:rsidRDefault="000E27FB" w:rsidP="00F76E2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lang w:val="it-IT" w:eastAsia="de-AT"/>
        </w:rPr>
      </w:pPr>
      <w:proofErr w:type="gramStart"/>
      <w:r w:rsidRPr="00461B6D">
        <w:rPr>
          <w:rFonts w:asciiTheme="minorHAnsi" w:hAnsiTheme="minorHAnsi"/>
        </w:rPr>
        <w:t xml:space="preserve">[2] </w:t>
      </w:r>
      <w:r w:rsidR="00132D07" w:rsidRPr="00461B6D">
        <w:rPr>
          <w:rFonts w:asciiTheme="minorHAnsi" w:hAnsiTheme="minorHAnsi" w:cs="Times"/>
          <w:lang w:val="it-IT" w:eastAsia="de-AT"/>
        </w:rPr>
        <w:t xml:space="preserve">D. </w:t>
      </w:r>
      <w:proofErr w:type="spellStart"/>
      <w:r w:rsidR="0029350E" w:rsidRPr="00461B6D">
        <w:rPr>
          <w:rFonts w:asciiTheme="minorHAnsi" w:hAnsiTheme="minorHAnsi" w:cs="Times"/>
          <w:lang w:val="it-IT" w:eastAsia="de-AT"/>
        </w:rPr>
        <w:t>Blum</w:t>
      </w:r>
      <w:proofErr w:type="spellEnd"/>
      <w:r w:rsidR="0029350E" w:rsidRPr="00461B6D">
        <w:rPr>
          <w:rFonts w:asciiTheme="minorHAnsi" w:hAnsiTheme="minorHAnsi" w:cs="Times"/>
          <w:lang w:val="it-IT" w:eastAsia="de-AT"/>
        </w:rPr>
        <w:t xml:space="preserve">, </w:t>
      </w:r>
      <w:proofErr w:type="spellStart"/>
      <w:r w:rsidR="0029350E" w:rsidRPr="00461B6D">
        <w:rPr>
          <w:rFonts w:asciiTheme="minorHAnsi" w:hAnsiTheme="minorHAnsi" w:cs="Times"/>
          <w:lang w:val="it-IT" w:eastAsia="de-AT"/>
        </w:rPr>
        <w:t>Ferroelectrics</w:t>
      </w:r>
      <w:proofErr w:type="spellEnd"/>
      <w:r w:rsidR="0029350E" w:rsidRPr="00461B6D">
        <w:rPr>
          <w:rFonts w:asciiTheme="minorHAnsi" w:hAnsiTheme="minorHAnsi" w:cs="Times"/>
          <w:lang w:val="it-IT" w:eastAsia="de-AT"/>
        </w:rPr>
        <w:t>.</w:t>
      </w:r>
      <w:proofErr w:type="gramEnd"/>
      <w:r w:rsidR="0029350E" w:rsidRPr="00461B6D">
        <w:rPr>
          <w:rFonts w:asciiTheme="minorHAnsi" w:hAnsiTheme="minorHAnsi" w:cs="Times"/>
          <w:lang w:val="it-IT" w:eastAsia="de-AT"/>
        </w:rPr>
        <w:t xml:space="preserve"> </w:t>
      </w:r>
      <w:r w:rsidR="00132D07" w:rsidRPr="00461B6D">
        <w:rPr>
          <w:rFonts w:asciiTheme="minorHAnsi" w:hAnsiTheme="minorHAnsi" w:cs="Times"/>
          <w:iCs/>
          <w:lang w:val="it-IT" w:eastAsia="de-AT"/>
        </w:rPr>
        <w:t>69</w:t>
      </w:r>
      <w:r w:rsidR="00132D07" w:rsidRPr="00461B6D">
        <w:rPr>
          <w:rFonts w:asciiTheme="minorHAnsi" w:hAnsiTheme="minorHAnsi" w:cs="Times"/>
          <w:lang w:val="it-IT" w:eastAsia="de-AT"/>
        </w:rPr>
        <w:t xml:space="preserve"> (</w:t>
      </w:r>
      <w:r w:rsidR="0029350E" w:rsidRPr="00461B6D">
        <w:rPr>
          <w:rFonts w:asciiTheme="minorHAnsi" w:hAnsiTheme="minorHAnsi" w:cs="Times"/>
          <w:bCs/>
          <w:lang w:val="it-IT" w:eastAsia="de-AT"/>
        </w:rPr>
        <w:t>1986</w:t>
      </w:r>
      <w:r w:rsidR="00132D07" w:rsidRPr="00461B6D">
        <w:rPr>
          <w:rFonts w:asciiTheme="minorHAnsi" w:hAnsiTheme="minorHAnsi" w:cs="Times"/>
          <w:bCs/>
          <w:lang w:val="it-IT" w:eastAsia="de-AT"/>
        </w:rPr>
        <w:t>)</w:t>
      </w:r>
      <w:r w:rsidR="0029350E" w:rsidRPr="00461B6D">
        <w:rPr>
          <w:rFonts w:asciiTheme="minorHAnsi" w:hAnsiTheme="minorHAnsi" w:cs="Times"/>
          <w:lang w:val="it-IT" w:eastAsia="de-AT"/>
        </w:rPr>
        <w:t xml:space="preserve"> 283-292 </w:t>
      </w:r>
    </w:p>
    <w:p w14:paraId="5E3E6E00" w14:textId="7A077496" w:rsidR="00F76E22" w:rsidRPr="00461B6D" w:rsidRDefault="00800889" w:rsidP="00F76E2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Arial"/>
          <w:lang w:eastAsia="it-IT"/>
        </w:rPr>
      </w:pPr>
      <w:r w:rsidRPr="00461B6D">
        <w:rPr>
          <w:rFonts w:asciiTheme="minorHAnsi" w:hAnsiTheme="minorHAnsi"/>
        </w:rPr>
        <w:t>[3]</w:t>
      </w:r>
      <w:r w:rsidR="00F76E22" w:rsidRPr="00461B6D">
        <w:rPr>
          <w:rFonts w:asciiTheme="minorHAnsi" w:hAnsiTheme="minorHAnsi" w:cs="Times"/>
          <w:lang w:val="it-IT" w:eastAsia="de-AT"/>
        </w:rPr>
        <w:t xml:space="preserve"> </w:t>
      </w:r>
      <w:r w:rsidR="00132D07" w:rsidRPr="00461B6D">
        <w:rPr>
          <w:rFonts w:asciiTheme="minorHAnsi" w:eastAsia="Times New Roman" w:hAnsiTheme="minorHAnsi" w:cs="Arial"/>
          <w:lang w:eastAsia="it-IT"/>
        </w:rPr>
        <w:t xml:space="preserve">A. </w:t>
      </w:r>
      <w:proofErr w:type="spellStart"/>
      <w:r w:rsidR="00132D07" w:rsidRPr="00461B6D">
        <w:rPr>
          <w:rFonts w:asciiTheme="minorHAnsi" w:eastAsia="Times New Roman" w:hAnsiTheme="minorHAnsi" w:cs="Arial"/>
          <w:lang w:eastAsia="it-IT"/>
        </w:rPr>
        <w:t>Kruglik</w:t>
      </w:r>
      <w:proofErr w:type="spellEnd"/>
      <w:r w:rsidR="00132D07" w:rsidRPr="00461B6D">
        <w:rPr>
          <w:rFonts w:asciiTheme="minorHAnsi" w:eastAsia="Times New Roman" w:hAnsiTheme="minorHAnsi" w:cs="Arial"/>
          <w:lang w:eastAsia="it-IT"/>
        </w:rPr>
        <w:t xml:space="preserve">, </w:t>
      </w:r>
      <w:proofErr w:type="spellStart"/>
      <w:r w:rsidR="00132D07" w:rsidRPr="00461B6D">
        <w:rPr>
          <w:rFonts w:asciiTheme="minorHAnsi" w:eastAsia="Times New Roman" w:hAnsiTheme="minorHAnsi" w:cs="Arial"/>
          <w:lang w:eastAsia="it-IT"/>
        </w:rPr>
        <w:t>M.Simonov</w:t>
      </w:r>
      <w:proofErr w:type="spellEnd"/>
      <w:r w:rsidR="00132D07" w:rsidRPr="00461B6D">
        <w:rPr>
          <w:rFonts w:asciiTheme="minorHAnsi" w:eastAsia="Times New Roman" w:hAnsiTheme="minorHAnsi" w:cs="Arial"/>
          <w:lang w:eastAsia="it-IT"/>
        </w:rPr>
        <w:t xml:space="preserve">, E. </w:t>
      </w:r>
      <w:proofErr w:type="spellStart"/>
      <w:r w:rsidR="00132D07" w:rsidRPr="00461B6D">
        <w:rPr>
          <w:rFonts w:asciiTheme="minorHAnsi" w:eastAsia="Times New Roman" w:hAnsiTheme="minorHAnsi" w:cs="Arial"/>
          <w:lang w:eastAsia="it-IT"/>
        </w:rPr>
        <w:t>Zhelezin</w:t>
      </w:r>
      <w:proofErr w:type="spellEnd"/>
      <w:r w:rsidR="00132D07" w:rsidRPr="00461B6D">
        <w:rPr>
          <w:rFonts w:asciiTheme="minorHAnsi" w:eastAsia="Times New Roman" w:hAnsiTheme="minorHAnsi" w:cs="Arial"/>
          <w:lang w:eastAsia="it-IT"/>
        </w:rPr>
        <w:t xml:space="preserve">, N. </w:t>
      </w:r>
      <w:proofErr w:type="spellStart"/>
      <w:r w:rsidR="00F76E22" w:rsidRPr="00461B6D">
        <w:rPr>
          <w:rFonts w:asciiTheme="minorHAnsi" w:eastAsia="Times New Roman" w:hAnsiTheme="minorHAnsi" w:cs="Arial"/>
          <w:lang w:eastAsia="it-IT"/>
        </w:rPr>
        <w:t>Belov</w:t>
      </w:r>
      <w:proofErr w:type="spellEnd"/>
      <w:r w:rsidR="00F76E22" w:rsidRPr="00461B6D">
        <w:rPr>
          <w:rFonts w:asciiTheme="minorHAnsi" w:hAnsiTheme="minorHAnsi" w:cs="Times"/>
          <w:lang w:val="it-IT" w:eastAsia="de-AT"/>
        </w:rPr>
        <w:t xml:space="preserve">. </w:t>
      </w:r>
      <w:proofErr w:type="spellStart"/>
      <w:r w:rsidR="00132D07" w:rsidRPr="00461B6D">
        <w:rPr>
          <w:rFonts w:asciiTheme="minorHAnsi" w:hAnsiTheme="minorHAnsi" w:cs="Arial"/>
          <w:lang w:eastAsia="it-IT"/>
        </w:rPr>
        <w:t>Sov</w:t>
      </w:r>
      <w:proofErr w:type="spellEnd"/>
      <w:r w:rsidR="00132D07" w:rsidRPr="00461B6D">
        <w:rPr>
          <w:rFonts w:asciiTheme="minorHAnsi" w:hAnsiTheme="minorHAnsi" w:cs="Arial"/>
          <w:lang w:eastAsia="it-IT"/>
        </w:rPr>
        <w:t xml:space="preserve">. Phys. </w:t>
      </w:r>
      <w:proofErr w:type="spellStart"/>
      <w:r w:rsidR="00132D07" w:rsidRPr="00461B6D">
        <w:rPr>
          <w:rFonts w:asciiTheme="minorHAnsi" w:hAnsiTheme="minorHAnsi" w:cs="Arial"/>
          <w:lang w:eastAsia="it-IT"/>
        </w:rPr>
        <w:t>Dokl</w:t>
      </w:r>
      <w:proofErr w:type="spellEnd"/>
      <w:r w:rsidR="00132D07" w:rsidRPr="00461B6D">
        <w:rPr>
          <w:rFonts w:asciiTheme="minorHAnsi" w:hAnsiTheme="minorHAnsi" w:cs="Arial"/>
          <w:lang w:eastAsia="it-IT"/>
        </w:rPr>
        <w:t>. 24 (1979) 596-</w:t>
      </w:r>
      <w:r w:rsidR="00F76E22" w:rsidRPr="00461B6D">
        <w:rPr>
          <w:rFonts w:asciiTheme="minorHAnsi" w:hAnsiTheme="minorHAnsi" w:cs="Arial"/>
          <w:lang w:eastAsia="it-IT"/>
        </w:rPr>
        <w:t>601</w:t>
      </w:r>
    </w:p>
    <w:p w14:paraId="245825AE" w14:textId="4B18BA0B" w:rsidR="00F76E22" w:rsidRPr="00461B6D" w:rsidRDefault="00800889" w:rsidP="00F76E22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lang w:val="it-IT" w:eastAsia="de-AT"/>
        </w:rPr>
      </w:pPr>
      <w:r w:rsidRPr="00461B6D">
        <w:rPr>
          <w:rFonts w:asciiTheme="minorHAnsi" w:hAnsiTheme="minorHAnsi"/>
        </w:rPr>
        <w:t>[4]</w:t>
      </w:r>
      <w:r w:rsidR="00F76E22" w:rsidRPr="00461B6D">
        <w:rPr>
          <w:rFonts w:asciiTheme="minorHAnsi" w:hAnsiTheme="minorHAnsi" w:cs="Arial"/>
          <w:lang w:eastAsia="it-IT"/>
        </w:rPr>
        <w:t xml:space="preserve"> G.</w:t>
      </w:r>
      <w:r w:rsidR="00980E10" w:rsidRPr="00461B6D">
        <w:rPr>
          <w:rFonts w:asciiTheme="minorHAnsi" w:hAnsiTheme="minorHAnsi" w:cs="Arial"/>
          <w:lang w:eastAsia="it-IT"/>
        </w:rPr>
        <w:t xml:space="preserve"> </w:t>
      </w:r>
      <w:proofErr w:type="spellStart"/>
      <w:r w:rsidR="00F76E22" w:rsidRPr="00461B6D">
        <w:rPr>
          <w:rFonts w:asciiTheme="minorHAnsi" w:hAnsiTheme="minorHAnsi" w:cs="Arial"/>
          <w:lang w:eastAsia="it-IT"/>
        </w:rPr>
        <w:t>Wallez</w:t>
      </w:r>
      <w:proofErr w:type="spellEnd"/>
      <w:r w:rsidR="00F76E22" w:rsidRPr="00461B6D">
        <w:rPr>
          <w:rFonts w:asciiTheme="minorHAnsi" w:hAnsiTheme="minorHAnsi" w:cs="Arial"/>
          <w:lang w:eastAsia="it-IT"/>
        </w:rPr>
        <w:t>, F.</w:t>
      </w:r>
      <w:r w:rsidR="00132D07" w:rsidRPr="00461B6D">
        <w:rPr>
          <w:rFonts w:asciiTheme="minorHAnsi" w:hAnsiTheme="minorHAnsi" w:cs="Arial"/>
          <w:lang w:eastAsia="it-IT"/>
        </w:rPr>
        <w:t xml:space="preserve"> </w:t>
      </w:r>
      <w:r w:rsidR="00F76E22" w:rsidRPr="00461B6D">
        <w:rPr>
          <w:rFonts w:asciiTheme="minorHAnsi" w:hAnsiTheme="minorHAnsi" w:cs="Arial"/>
          <w:lang w:eastAsia="it-IT"/>
        </w:rPr>
        <w:t xml:space="preserve">Lukas, J.P. </w:t>
      </w:r>
      <w:proofErr w:type="spellStart"/>
      <w:r w:rsidR="00F76E22" w:rsidRPr="00461B6D">
        <w:rPr>
          <w:rFonts w:asciiTheme="minorHAnsi" w:hAnsiTheme="minorHAnsi" w:cs="Arial"/>
          <w:lang w:eastAsia="it-IT"/>
        </w:rPr>
        <w:t>Souron</w:t>
      </w:r>
      <w:proofErr w:type="spellEnd"/>
      <w:r w:rsidR="00F76E22" w:rsidRPr="00461B6D">
        <w:rPr>
          <w:rFonts w:asciiTheme="minorHAnsi" w:hAnsiTheme="minorHAnsi" w:cs="Arial"/>
          <w:lang w:eastAsia="it-IT"/>
        </w:rPr>
        <w:t>, M.</w:t>
      </w:r>
      <w:r w:rsidR="00132D07" w:rsidRPr="00461B6D">
        <w:rPr>
          <w:rFonts w:asciiTheme="minorHAnsi" w:hAnsiTheme="minorHAnsi" w:cs="Arial"/>
          <w:lang w:eastAsia="it-IT"/>
        </w:rPr>
        <w:t xml:space="preserve"> </w:t>
      </w:r>
      <w:proofErr w:type="spellStart"/>
      <w:r w:rsidR="00980E10" w:rsidRPr="00461B6D">
        <w:rPr>
          <w:rFonts w:asciiTheme="minorHAnsi" w:hAnsiTheme="minorHAnsi" w:cs="Arial"/>
          <w:lang w:eastAsia="it-IT"/>
        </w:rPr>
        <w:t>Quarton</w:t>
      </w:r>
      <w:proofErr w:type="spellEnd"/>
      <w:r w:rsidR="00980E10" w:rsidRPr="00461B6D">
        <w:rPr>
          <w:rFonts w:asciiTheme="minorHAnsi" w:hAnsiTheme="minorHAnsi" w:cs="Arial"/>
          <w:lang w:eastAsia="it-IT"/>
        </w:rPr>
        <w:t xml:space="preserve">, Mater. Res. Bull. </w:t>
      </w:r>
      <w:r w:rsidR="00F76E22" w:rsidRPr="00461B6D">
        <w:rPr>
          <w:rFonts w:asciiTheme="minorHAnsi" w:hAnsiTheme="minorHAnsi" w:cs="Arial"/>
          <w:lang w:eastAsia="it-IT"/>
        </w:rPr>
        <w:t xml:space="preserve">34 (8) </w:t>
      </w:r>
      <w:r w:rsidR="00132D07" w:rsidRPr="00461B6D">
        <w:rPr>
          <w:rFonts w:asciiTheme="minorHAnsi" w:hAnsiTheme="minorHAnsi" w:cs="Arial"/>
          <w:lang w:eastAsia="it-IT"/>
        </w:rPr>
        <w:t>(1999) 1251-1261</w:t>
      </w:r>
    </w:p>
    <w:p w14:paraId="589F7D68" w14:textId="14D0475D" w:rsidR="00F76E22" w:rsidRPr="00461B6D" w:rsidRDefault="00132D07" w:rsidP="0029350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lang w:val="it-IT" w:eastAsia="de-AT"/>
        </w:rPr>
      </w:pPr>
      <w:r w:rsidRPr="00461B6D">
        <w:rPr>
          <w:rFonts w:asciiTheme="minorHAnsi" w:hAnsiTheme="minorHAnsi"/>
        </w:rPr>
        <w:t xml:space="preserve">[5] </w:t>
      </w:r>
      <w:r w:rsidR="00D654F3" w:rsidRPr="00461B6D">
        <w:rPr>
          <w:rFonts w:asciiTheme="minorHAnsi" w:hAnsiTheme="minorHAnsi" w:cs="Times"/>
          <w:lang w:val="it-IT" w:eastAsia="de-AT"/>
        </w:rPr>
        <w:t xml:space="preserve">L. </w:t>
      </w:r>
      <w:proofErr w:type="spellStart"/>
      <w:r w:rsidR="00D654F3" w:rsidRPr="00461B6D">
        <w:rPr>
          <w:rFonts w:asciiTheme="minorHAnsi" w:hAnsiTheme="minorHAnsi" w:cs="Times"/>
          <w:lang w:val="it-IT" w:eastAsia="de-AT"/>
        </w:rPr>
        <w:t>Perez</w:t>
      </w:r>
      <w:proofErr w:type="spellEnd"/>
      <w:r w:rsidR="00D654F3" w:rsidRPr="00461B6D">
        <w:rPr>
          <w:rFonts w:asciiTheme="minorHAnsi" w:hAnsiTheme="minorHAnsi" w:cs="Times"/>
          <w:lang w:val="it-IT" w:eastAsia="de-AT"/>
        </w:rPr>
        <w:t xml:space="preserve">, L. Marcos, H. </w:t>
      </w:r>
      <w:proofErr w:type="spellStart"/>
      <w:r w:rsidR="00D654F3" w:rsidRPr="00461B6D">
        <w:rPr>
          <w:rFonts w:asciiTheme="minorHAnsi" w:hAnsiTheme="minorHAnsi" w:cs="Times"/>
          <w:lang w:val="it-IT" w:eastAsia="de-AT"/>
        </w:rPr>
        <w:t>Sch</w:t>
      </w:r>
      <w:r w:rsidR="00980E10" w:rsidRPr="00461B6D">
        <w:rPr>
          <w:rFonts w:asciiTheme="minorHAnsi" w:hAnsiTheme="minorHAnsi" w:cs="Times"/>
          <w:lang w:val="it-IT" w:eastAsia="de-AT"/>
        </w:rPr>
        <w:t>mid</w:t>
      </w:r>
      <w:proofErr w:type="spellEnd"/>
      <w:r w:rsidR="00980E10" w:rsidRPr="00461B6D">
        <w:rPr>
          <w:rFonts w:asciiTheme="minorHAnsi" w:hAnsiTheme="minorHAnsi" w:cs="Times"/>
          <w:lang w:val="it-IT" w:eastAsia="de-AT"/>
        </w:rPr>
        <w:t xml:space="preserve">, </w:t>
      </w:r>
      <w:proofErr w:type="spellStart"/>
      <w:r w:rsidR="00980E10" w:rsidRPr="00461B6D">
        <w:rPr>
          <w:rFonts w:asciiTheme="minorHAnsi" w:hAnsiTheme="minorHAnsi" w:cs="Times"/>
          <w:lang w:val="it-IT" w:eastAsia="de-AT"/>
        </w:rPr>
        <w:t>Ferroelectrics</w:t>
      </w:r>
      <w:proofErr w:type="spellEnd"/>
      <w:r w:rsidR="00980E10" w:rsidRPr="00461B6D">
        <w:rPr>
          <w:rFonts w:asciiTheme="minorHAnsi" w:hAnsiTheme="minorHAnsi" w:cs="Times"/>
          <w:lang w:val="it-IT" w:eastAsia="de-AT"/>
        </w:rPr>
        <w:t>.</w:t>
      </w:r>
      <w:r w:rsidRPr="00461B6D">
        <w:rPr>
          <w:rFonts w:asciiTheme="minorHAnsi" w:hAnsiTheme="minorHAnsi" w:cs="Times"/>
          <w:lang w:val="it-IT" w:eastAsia="de-AT"/>
        </w:rPr>
        <w:t xml:space="preserve"> </w:t>
      </w:r>
      <w:r w:rsidR="00D654F3" w:rsidRPr="00461B6D">
        <w:rPr>
          <w:rFonts w:asciiTheme="minorHAnsi" w:hAnsiTheme="minorHAnsi" w:cs="Times"/>
          <w:lang w:val="it-IT" w:eastAsia="de-AT"/>
        </w:rPr>
        <w:t xml:space="preserve">175 (1), </w:t>
      </w:r>
      <w:r w:rsidRPr="00461B6D">
        <w:rPr>
          <w:rFonts w:asciiTheme="minorHAnsi" w:hAnsiTheme="minorHAnsi" w:cs="Times"/>
          <w:lang w:val="it-IT" w:eastAsia="de-AT"/>
        </w:rPr>
        <w:t xml:space="preserve">(1996) </w:t>
      </w:r>
      <w:r w:rsidR="00D654F3" w:rsidRPr="00461B6D">
        <w:rPr>
          <w:rFonts w:asciiTheme="minorHAnsi" w:hAnsiTheme="minorHAnsi" w:cs="Times"/>
          <w:lang w:val="it-IT" w:eastAsia="de-AT"/>
        </w:rPr>
        <w:t>41-50</w:t>
      </w:r>
    </w:p>
    <w:p w14:paraId="7C6610E6" w14:textId="627A0685" w:rsidR="00980E10" w:rsidRPr="00461B6D" w:rsidRDefault="00980E10" w:rsidP="0029350E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lang w:val="it-IT" w:eastAsia="de-AT"/>
        </w:rPr>
      </w:pPr>
      <w:r w:rsidRPr="00461B6D">
        <w:rPr>
          <w:rFonts w:asciiTheme="minorHAnsi" w:hAnsiTheme="minorHAnsi"/>
        </w:rPr>
        <w:t>[6] M. Orlova et al</w:t>
      </w:r>
      <w:r w:rsidR="00461B6D">
        <w:rPr>
          <w:rFonts w:asciiTheme="minorHAnsi" w:hAnsiTheme="minorHAnsi"/>
        </w:rPr>
        <w:t>.</w:t>
      </w:r>
      <w:r w:rsidRPr="00461B6D">
        <w:rPr>
          <w:rFonts w:asciiTheme="minorHAnsi" w:hAnsiTheme="minorHAnsi"/>
        </w:rPr>
        <w:t>, J. Solid State Chem. 221 (2015) 224-229</w:t>
      </w:r>
    </w:p>
    <w:p w14:paraId="3157737D" w14:textId="77777777" w:rsidR="000E27FB" w:rsidRPr="006C1EA2" w:rsidRDefault="000E27FB" w:rsidP="00617DCB">
      <w:pPr>
        <w:jc w:val="both"/>
        <w:rPr>
          <w:rFonts w:ascii="Calibri" w:hAnsi="Calibri"/>
        </w:rPr>
      </w:pPr>
    </w:p>
    <w:sectPr w:rsidR="000E27FB" w:rsidRPr="006C1EA2" w:rsidSect="00077441">
      <w:headerReference w:type="default" r:id="rId9"/>
      <w:pgSz w:w="11900" w:h="16840"/>
      <w:pgMar w:top="2268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BD3EA9" w14:textId="77777777" w:rsidR="00BE0771" w:rsidRDefault="00BE0771" w:rsidP="00617DCB">
      <w:r>
        <w:separator/>
      </w:r>
    </w:p>
  </w:endnote>
  <w:endnote w:type="continuationSeparator" w:id="0">
    <w:p w14:paraId="48E03E5D" w14:textId="77777777" w:rsidR="00BE0771" w:rsidRDefault="00BE0771" w:rsidP="006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E4B8EE" w14:textId="77777777" w:rsidR="00BE0771" w:rsidRDefault="00BE0771" w:rsidP="00617DCB">
      <w:r>
        <w:separator/>
      </w:r>
    </w:p>
  </w:footnote>
  <w:footnote w:type="continuationSeparator" w:id="0">
    <w:p w14:paraId="7F916990" w14:textId="77777777" w:rsidR="00BE0771" w:rsidRDefault="00BE0771" w:rsidP="00617D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61B7C1" w14:textId="77777777" w:rsidR="00BE0771" w:rsidRPr="008D73DF" w:rsidRDefault="00CA73AE" w:rsidP="00617DCB">
    <w:pPr>
      <w:widowControl w:val="0"/>
      <w:autoSpaceDE w:val="0"/>
      <w:autoSpaceDN w:val="0"/>
      <w:adjustRightInd w:val="0"/>
      <w:rPr>
        <w:rFonts w:ascii="Calibri" w:hAnsi="Calibri" w:cs="Arial"/>
        <w:b/>
        <w:sz w:val="22"/>
        <w:szCs w:val="22"/>
        <w:lang w:val="fr-FR"/>
      </w:rPr>
    </w:pPr>
    <w:r>
      <w:rPr>
        <w:noProof/>
        <w:lang w:val="de-AT" w:eastAsia="de-AT"/>
      </w:rPr>
      <w:pict w14:anchorId="246D8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Macintosh HD:Users:Zuttel:Documents:EPFL:LOGOS:image003.png" style="position:absolute;margin-left:342pt;margin-top:2.7pt;width:79pt;height:31.25pt;z-index:-251658752;visibility:visible">
          <v:imagedata r:id="rId1" o:title=""/>
        </v:shape>
      </w:pict>
    </w:r>
    <w:r w:rsidR="00BE0771" w:rsidRPr="008D73DF">
      <w:rPr>
        <w:rFonts w:ascii="Calibri" w:hAnsi="Calibri" w:cs="Arial"/>
        <w:b/>
        <w:sz w:val="22"/>
        <w:szCs w:val="22"/>
        <w:lang w:val="fr-FR"/>
      </w:rPr>
      <w:t>École polytechnique fédérale de Lausanne (EPFL) Valais/Wallis</w:t>
    </w:r>
  </w:p>
  <w:p w14:paraId="06D35C9B" w14:textId="77777777" w:rsidR="00BE0771" w:rsidRPr="00617DCB" w:rsidRDefault="00BE0771" w:rsidP="00617DCB">
    <w:pPr>
      <w:widowControl w:val="0"/>
      <w:autoSpaceDE w:val="0"/>
      <w:autoSpaceDN w:val="0"/>
      <w:adjustRightInd w:val="0"/>
      <w:rPr>
        <w:rFonts w:ascii="Calibri" w:hAnsi="Calibri" w:cs="Arial"/>
        <w:sz w:val="22"/>
        <w:szCs w:val="22"/>
      </w:rPr>
    </w:pPr>
    <w:r w:rsidRPr="00617DCB">
      <w:rPr>
        <w:rFonts w:ascii="Calibri" w:hAnsi="Calibri" w:cs="Arial"/>
        <w:sz w:val="22"/>
        <w:szCs w:val="22"/>
      </w:rPr>
      <w:t>Institute of Chemical Sciences and Engineering (ISIC)</w:t>
    </w:r>
  </w:p>
  <w:p w14:paraId="75945297" w14:textId="77777777" w:rsidR="00BE0771" w:rsidRPr="00617DCB" w:rsidRDefault="00BE0771" w:rsidP="00617DCB">
    <w:pPr>
      <w:widowControl w:val="0"/>
      <w:autoSpaceDE w:val="0"/>
      <w:autoSpaceDN w:val="0"/>
      <w:adjustRightInd w:val="0"/>
      <w:rPr>
        <w:rFonts w:ascii="Calibri" w:hAnsi="Calibri" w:cs="Arial"/>
        <w:sz w:val="22"/>
        <w:szCs w:val="22"/>
      </w:rPr>
    </w:pPr>
    <w:r w:rsidRPr="00617DCB">
      <w:rPr>
        <w:rFonts w:ascii="Calibri" w:hAnsi="Calibri" w:cs="Arial"/>
        <w:sz w:val="22"/>
        <w:szCs w:val="22"/>
      </w:rPr>
      <w:t>Basic Science Faculty (SB)</w:t>
    </w:r>
  </w:p>
  <w:p w14:paraId="5631521B" w14:textId="77777777" w:rsidR="00BE0771" w:rsidRPr="00617DCB" w:rsidRDefault="00BE0771" w:rsidP="00617DCB">
    <w:pPr>
      <w:widowControl w:val="0"/>
      <w:autoSpaceDE w:val="0"/>
      <w:autoSpaceDN w:val="0"/>
      <w:adjustRightInd w:val="0"/>
      <w:rPr>
        <w:rFonts w:ascii="Calibri" w:hAnsi="Calibri" w:cs="Arial"/>
        <w:sz w:val="22"/>
        <w:szCs w:val="22"/>
      </w:rPr>
    </w:pPr>
    <w:r w:rsidRPr="00617DCB">
      <w:rPr>
        <w:rFonts w:ascii="Calibri" w:hAnsi="Calibri" w:cs="Arial"/>
        <w:sz w:val="22"/>
        <w:szCs w:val="22"/>
      </w:rPr>
      <w:t>Energypolis</w:t>
    </w:r>
    <w:r>
      <w:rPr>
        <w:rFonts w:ascii="Calibri" w:hAnsi="Calibri" w:cs="Arial"/>
        <w:sz w:val="22"/>
        <w:szCs w:val="22"/>
      </w:rPr>
      <w:t xml:space="preserve">, </w:t>
    </w:r>
    <w:r w:rsidRPr="00617DCB">
      <w:rPr>
        <w:rFonts w:ascii="Calibri" w:hAnsi="Calibri" w:cs="Arial"/>
        <w:sz w:val="22"/>
        <w:szCs w:val="22"/>
      </w:rPr>
      <w:t>Rue de l’Industrie 17</w:t>
    </w:r>
    <w:r>
      <w:rPr>
        <w:rFonts w:ascii="Calibri" w:hAnsi="Calibri" w:cs="Arial"/>
        <w:sz w:val="22"/>
        <w:szCs w:val="22"/>
      </w:rPr>
      <w:t xml:space="preserve">, </w:t>
    </w:r>
    <w:r w:rsidRPr="00617DCB">
      <w:rPr>
        <w:rFonts w:ascii="Calibri" w:hAnsi="Calibri" w:cs="Arial"/>
        <w:sz w:val="22"/>
        <w:szCs w:val="22"/>
      </w:rPr>
      <w:t>CH-1950 Sion, Switzerland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AE2652"/>
    <w:multiLevelType w:val="multilevel"/>
    <w:tmpl w:val="ACA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DCB"/>
    <w:rsid w:val="00077441"/>
    <w:rsid w:val="000C38C2"/>
    <w:rsid w:val="000E27FB"/>
    <w:rsid w:val="000E2F7D"/>
    <w:rsid w:val="00116E1E"/>
    <w:rsid w:val="00132D07"/>
    <w:rsid w:val="00141E33"/>
    <w:rsid w:val="002310CD"/>
    <w:rsid w:val="002619E2"/>
    <w:rsid w:val="0029350E"/>
    <w:rsid w:val="00376100"/>
    <w:rsid w:val="00461B6D"/>
    <w:rsid w:val="005121F4"/>
    <w:rsid w:val="005579C5"/>
    <w:rsid w:val="00617DCB"/>
    <w:rsid w:val="006833FD"/>
    <w:rsid w:val="006C1EA2"/>
    <w:rsid w:val="006C6CD5"/>
    <w:rsid w:val="00722389"/>
    <w:rsid w:val="0076760D"/>
    <w:rsid w:val="00782E07"/>
    <w:rsid w:val="00800889"/>
    <w:rsid w:val="008D73DF"/>
    <w:rsid w:val="008E4123"/>
    <w:rsid w:val="00922905"/>
    <w:rsid w:val="00980E10"/>
    <w:rsid w:val="00AB6838"/>
    <w:rsid w:val="00BE0771"/>
    <w:rsid w:val="00C4388C"/>
    <w:rsid w:val="00C52793"/>
    <w:rsid w:val="00C74BE1"/>
    <w:rsid w:val="00CA73AE"/>
    <w:rsid w:val="00D654F3"/>
    <w:rsid w:val="00D876DD"/>
    <w:rsid w:val="00DB06F2"/>
    <w:rsid w:val="00DB42BA"/>
    <w:rsid w:val="00DB665E"/>
    <w:rsid w:val="00EC1F8C"/>
    <w:rsid w:val="00F339F0"/>
    <w:rsid w:val="00F76E22"/>
    <w:rsid w:val="00F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729B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7D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D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D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7D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7D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D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922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0C3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420"/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76E22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368</Words>
  <Characters>2103</Characters>
  <Application>Microsoft Macintosh Word</Application>
  <DocSecurity>0</DocSecurity>
  <Lines>17</Lines>
  <Paragraphs>4</Paragraphs>
  <ScaleCrop>false</ScaleCrop>
  <Company>École polytechnique fédérale de Lausanne (EPFL) Val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ENERGYPOLIS SEMINAR</dc:title>
  <dc:subject/>
  <dc:creator>Andreas ZÜTTEL</dc:creator>
  <cp:keywords/>
  <dc:description/>
  <cp:lastModifiedBy>Andreas ZÜTTEL</cp:lastModifiedBy>
  <cp:revision>14</cp:revision>
  <cp:lastPrinted>2015-06-09T22:22:00Z</cp:lastPrinted>
  <dcterms:created xsi:type="dcterms:W3CDTF">2015-10-27T16:27:00Z</dcterms:created>
  <dcterms:modified xsi:type="dcterms:W3CDTF">2015-10-06T10:08:00Z</dcterms:modified>
</cp:coreProperties>
</file>